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乌海市重点产品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新场景大规模应用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（征求意见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为深入贯彻生态优先、绿色发展理念，全面落实党的二十届四中全会关于“加大应用场景建设和开放力度，实施新技术新产品新场景大规模应用示范行动”的战略部署，严格执行国务院办公厅《关于加快场景培育和开放推动新场景大规模应用的实施意见》（国办发〔2025〕37号）要求，加快培育新质生产力，推动资源型城市产业转型升级，充分发挥我市在可降解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新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材料、</w:t>
      </w:r>
      <w:r>
        <w:rPr>
          <w:rFonts w:hint="eastAsia" w:ascii="Times New Roman" w:hAnsi="Times New Roman" w:eastAsia="仿宋_GB2312"/>
          <w:color w:val="auto"/>
          <w:sz w:val="32"/>
          <w:szCs w:val="22"/>
          <w:highlight w:val="none"/>
        </w:rPr>
        <w:t>固态电池、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新能源载具等领域的产业基础与资源优势，构建“产用互促、政企协同、全域推广、场景驱动”的发展格局，制定本方案。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黑体" w:hAnsi="黑体" w:eastAsia="黑体" w:cs="黑体"/>
          <w:sz w:val="32"/>
          <w:szCs w:val="22"/>
          <w:highlight w:val="none"/>
        </w:rPr>
        <w:t>一、总体要求</w:t>
      </w:r>
      <w:r>
        <w:rPr>
          <w:rFonts w:ascii="Times New Roman" w:hAnsi="Times New Roman" w:eastAsia="仿宋_GB2312"/>
          <w:sz w:val="32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以习近平新时代中国特色社会主义思想为指导，全面贯彻党的二十大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和二十届历次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全会精神，锚定国家、自治区关于场景培育开放的工作部署，立足“小而精、小而强”的现代化产业体系建设目标，聚焦三类重点产业产品的应用推广与场景落地，通过政策引导、市场驱动、示范引领、服务保障，提升本地产品市场渗透率与产业竞争力，为乌海高质量发展注入绿色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（二）基本原则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eastAsia="zh-CN"/>
        </w:rPr>
        <w:t>—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政府引导、市场主导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强化政策扶持与统筹协调，落实国务院“央地协同、政企联动”要求，充分发挥市场在资源配置中的决定性作用，激发企业主体活力。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eastAsia="zh-CN"/>
        </w:rPr>
        <w:t>—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场景先行、梯次推广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优先在公共领域、重点园区、重大项目打造标杆场景，总结可复制经验后向全域、全行业拓展。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eastAsia="zh-CN"/>
        </w:rPr>
        <w:t>—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产用协同、供需对接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搭建产业供需平台，推动本地企业与应用场景深度绑定，落实国有企业主动开放主业场景要求，吸引中小企业参与。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8"/>
          <w:highlight w:val="none"/>
        </w:rPr>
        <w:t>（三）主要目标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仿宋_GB2312"/>
          <w:sz w:val="32"/>
          <w:szCs w:val="28"/>
          <w:highlight w:val="none"/>
        </w:rPr>
      </w:pPr>
      <w:r>
        <w:rPr>
          <w:rFonts w:hint="eastAsia" w:ascii="Times New Roman" w:hAnsi="Times New Roman" w:eastAsia="仿宋_GB2312"/>
          <w:sz w:val="32"/>
          <w:szCs w:val="28"/>
          <w:highlight w:val="none"/>
        </w:rPr>
        <w:t>到20</w:t>
      </w:r>
      <w:r>
        <w:rPr>
          <w:rFonts w:hint="eastAsia" w:eastAsia="仿宋_GB2312"/>
          <w:sz w:val="32"/>
          <w:szCs w:val="28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年底，全面完成国家、自治区部署的大规模场景应用任务，全市三类重点产业产品推广应用取得显著成效：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8"/>
          <w:highlight w:val="none"/>
        </w:rPr>
      </w:pPr>
      <w:r>
        <w:rPr>
          <w:rFonts w:hint="eastAsia" w:ascii="Times New Roman" w:hAnsi="Times New Roman" w:eastAsia="仿宋_GB2312"/>
          <w:sz w:val="32"/>
          <w:szCs w:val="28"/>
          <w:highlight w:val="none"/>
        </w:rPr>
        <w:t>1. 可降解</w:t>
      </w:r>
      <w:r>
        <w:rPr>
          <w:rFonts w:hint="eastAsia" w:eastAsia="仿宋_GB2312"/>
          <w:sz w:val="32"/>
          <w:szCs w:val="28"/>
          <w:highlight w:val="none"/>
          <w:lang w:eastAsia="zh-CN"/>
        </w:rPr>
        <w:t>新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材料：</w:t>
      </w:r>
      <w:r>
        <w:rPr>
          <w:rFonts w:hint="eastAsia" w:ascii="Times New Roman" w:hAnsi="Times New Roman" w:eastAsia="仿宋_GB2312"/>
          <w:sz w:val="32"/>
          <w:szCs w:val="28"/>
        </w:rPr>
        <w:t>2026年</w:t>
      </w:r>
      <w:r>
        <w:rPr>
          <w:rFonts w:hint="eastAsia" w:eastAsia="仿宋_GB2312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8"/>
        </w:rPr>
        <w:t>在全市政务办公、商超、餐饮外卖等领域普及率达到50%，</w:t>
      </w:r>
      <w:r>
        <w:rPr>
          <w:rFonts w:hint="eastAsia" w:eastAsia="仿宋_GB2312"/>
          <w:sz w:val="32"/>
          <w:szCs w:val="28"/>
          <w:lang w:eastAsia="zh-CN"/>
        </w:rPr>
        <w:t>农业生产领域可降解地膜替代普及率达</w:t>
      </w:r>
      <w:r>
        <w:rPr>
          <w:rFonts w:hint="eastAsia" w:eastAsia="仿宋_GB2312"/>
          <w:sz w:val="32"/>
          <w:szCs w:val="28"/>
          <w:lang w:val="en-US" w:eastAsia="zh-CN"/>
        </w:rPr>
        <w:t>100%，</w:t>
      </w:r>
      <w:r>
        <w:rPr>
          <w:rFonts w:hint="eastAsia" w:eastAsia="仿宋_GB2312"/>
          <w:sz w:val="32"/>
          <w:szCs w:val="28"/>
          <w:lang w:eastAsia="zh-CN"/>
        </w:rPr>
        <w:t>农贸市场、快递物流等场景可降解新材料普及率达</w:t>
      </w:r>
      <w:r>
        <w:rPr>
          <w:rFonts w:hint="eastAsia" w:eastAsia="仿宋_GB2312"/>
          <w:sz w:val="32"/>
          <w:szCs w:val="28"/>
          <w:lang w:val="en-US" w:eastAsia="zh-CN"/>
        </w:rPr>
        <w:t>10%</w:t>
      </w:r>
      <w:r>
        <w:rPr>
          <w:rFonts w:hint="eastAsia" w:eastAsia="仿宋_GB2312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8"/>
        </w:rPr>
        <w:t>本地BDO下游深加工产品在自治区内市场占有率实现初步提升</w:t>
      </w:r>
      <w:r>
        <w:rPr>
          <w:rFonts w:hint="eastAsia" w:eastAsia="仿宋_GB2312"/>
          <w:sz w:val="32"/>
          <w:szCs w:val="28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28"/>
        </w:rPr>
        <w:t>2027年</w:t>
      </w:r>
      <w:r>
        <w:rPr>
          <w:rFonts w:hint="eastAsia" w:eastAsia="仿宋_GB2312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8"/>
        </w:rPr>
        <w:t>全市政务办公、商超、餐饮外卖等领域普及率提升至80%，</w:t>
      </w:r>
      <w:r>
        <w:rPr>
          <w:rFonts w:hint="eastAsia" w:eastAsia="仿宋_GB2312"/>
          <w:sz w:val="32"/>
          <w:szCs w:val="28"/>
          <w:lang w:eastAsia="zh-CN"/>
        </w:rPr>
        <w:t>农贸市场、快递物流等场景可降解新材料普及率达</w:t>
      </w:r>
      <w:r>
        <w:rPr>
          <w:rFonts w:hint="eastAsia" w:eastAsia="仿宋_GB2312"/>
          <w:sz w:val="32"/>
          <w:szCs w:val="28"/>
          <w:lang w:val="en-US" w:eastAsia="zh-CN"/>
        </w:rPr>
        <w:t>20%</w:t>
      </w:r>
      <w:r>
        <w:rPr>
          <w:rFonts w:hint="eastAsia" w:eastAsia="仿宋_GB2312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8"/>
        </w:rPr>
        <w:t>本地BDO下游深加工产品拓展至国内重点区域市场，占有率稳步提高</w:t>
      </w:r>
      <w:r>
        <w:rPr>
          <w:rFonts w:hint="eastAsia" w:eastAsia="仿宋_GB2312"/>
          <w:sz w:val="32"/>
          <w:szCs w:val="28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28"/>
        </w:rPr>
        <w:t>2028年</w:t>
      </w:r>
      <w:r>
        <w:rPr>
          <w:rFonts w:hint="eastAsia" w:eastAsia="仿宋_GB2312"/>
          <w:sz w:val="32"/>
          <w:szCs w:val="28"/>
          <w:lang w:eastAsia="zh-CN"/>
        </w:rPr>
        <w:t>，农贸市场、快递物流等场景可降解新材料普及率达</w:t>
      </w:r>
      <w:r>
        <w:rPr>
          <w:rFonts w:hint="eastAsia" w:eastAsia="仿宋_GB2312"/>
          <w:sz w:val="32"/>
          <w:szCs w:val="28"/>
          <w:lang w:val="en-US" w:eastAsia="zh-CN"/>
        </w:rPr>
        <w:t>30%</w:t>
      </w:r>
      <w:r>
        <w:rPr>
          <w:rFonts w:hint="eastAsia" w:eastAsia="仿宋_GB2312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8"/>
        </w:rPr>
        <w:t>上述</w:t>
      </w:r>
      <w:r>
        <w:rPr>
          <w:rFonts w:hint="eastAsia" w:eastAsia="仿宋_GB2312"/>
          <w:sz w:val="32"/>
          <w:szCs w:val="28"/>
          <w:lang w:eastAsia="zh-CN"/>
        </w:rPr>
        <w:t>其他</w:t>
      </w:r>
      <w:r>
        <w:rPr>
          <w:rFonts w:hint="eastAsia" w:ascii="Times New Roman" w:hAnsi="Times New Roman" w:eastAsia="仿宋_GB2312"/>
          <w:sz w:val="32"/>
          <w:szCs w:val="28"/>
        </w:rPr>
        <w:t>领域普及率达到100%，本地BDO下游深加工产品在自治区及全国层面市场占有率实现显著跃升。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8"/>
          <w:highlight w:val="none"/>
        </w:rPr>
      </w:pPr>
      <w:r>
        <w:rPr>
          <w:rFonts w:hint="eastAsia" w:ascii="Times New Roman" w:hAnsi="Times New Roman" w:eastAsia="仿宋_GB2312"/>
          <w:sz w:val="32"/>
          <w:szCs w:val="28"/>
          <w:highlight w:val="none"/>
        </w:rPr>
        <w:t>2. 固态电池：2026年，</w:t>
      </w:r>
      <w:r>
        <w:rPr>
          <w:rFonts w:hint="eastAsia" w:ascii="Times New Roman" w:hAnsi="Times New Roman" w:eastAsia="仿宋_GB2312"/>
          <w:sz w:val="32"/>
          <w:szCs w:val="28"/>
          <w:highlight w:val="none"/>
          <w:lang w:eastAsia="zh-CN"/>
        </w:rPr>
        <w:t>固态、半固态储能</w:t>
      </w:r>
      <w:r>
        <w:rPr>
          <w:rFonts w:hint="eastAsia" w:eastAsia="仿宋_GB2312"/>
          <w:sz w:val="32"/>
          <w:szCs w:val="28"/>
          <w:highlight w:val="none"/>
          <w:lang w:eastAsia="zh-CN"/>
        </w:rPr>
        <w:t>新增装机规模占比达</w:t>
      </w:r>
      <w:r>
        <w:rPr>
          <w:rFonts w:hint="eastAsia" w:eastAsia="仿宋_GB2312"/>
          <w:sz w:val="32"/>
          <w:szCs w:val="28"/>
          <w:highlight w:val="none"/>
          <w:lang w:val="en-US" w:eastAsia="zh-CN"/>
        </w:rPr>
        <w:t>50%</w:t>
      </w:r>
      <w:r>
        <w:rPr>
          <w:rFonts w:hint="eastAsia" w:ascii="Times New Roman" w:hAnsi="Times New Roman" w:eastAsia="仿宋_GB2312"/>
          <w:sz w:val="32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聚焦正极、负极、电解质等核心材料及电芯制造，开展产业链招商，引进培育配套企业，初步</w:t>
      </w:r>
      <w:r>
        <w:rPr>
          <w:rFonts w:hint="eastAsia" w:eastAsia="仿宋_GB2312"/>
          <w:sz w:val="32"/>
          <w:szCs w:val="28"/>
          <w:highlight w:val="none"/>
          <w:lang w:eastAsia="zh-CN"/>
        </w:rPr>
        <w:t>形成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“材料—电芯”上下游配套体系</w:t>
      </w:r>
      <w:r>
        <w:rPr>
          <w:rFonts w:hint="eastAsia" w:ascii="Times New Roman" w:hAnsi="Times New Roman" w:eastAsia="仿宋_GB2312"/>
          <w:sz w:val="32"/>
          <w:szCs w:val="28"/>
          <w:highlight w:val="none"/>
          <w:lang w:eastAsia="zh-CN"/>
        </w:rPr>
        <w:t>，加快推动动力电池适配业态联结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；2027年，</w:t>
      </w:r>
      <w:r>
        <w:rPr>
          <w:rFonts w:hint="eastAsia" w:ascii="Times New Roman" w:hAnsi="Times New Roman" w:eastAsia="仿宋_GB2312"/>
          <w:sz w:val="32"/>
          <w:szCs w:val="28"/>
          <w:highlight w:val="none"/>
          <w:lang w:eastAsia="zh-CN"/>
        </w:rPr>
        <w:t>积极争取自治区储能配额，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持续扩大装机规模</w:t>
      </w:r>
      <w:r>
        <w:rPr>
          <w:rFonts w:hint="eastAsia" w:ascii="Times New Roman" w:hAnsi="Times New Roman" w:eastAsia="仿宋_GB2312"/>
          <w:sz w:val="32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延伸产业链条，发展储能系统集成、PACK封装等产业，补齐“储能—应用”环节短板，</w:t>
      </w:r>
      <w:r>
        <w:rPr>
          <w:rFonts w:hint="eastAsia" w:eastAsia="仿宋_GB2312"/>
          <w:sz w:val="32"/>
          <w:szCs w:val="28"/>
          <w:highlight w:val="none"/>
          <w:lang w:eastAsia="zh-CN"/>
        </w:rPr>
        <w:t>构建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“材料—电芯—储能—应用”完整产业生态雏形；2028年，累计装机规模实现稳步增长目标，推动上下游企业联合技术攻关，提升产业链供应链韧性和安全水平，产业生态成熟完善。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sz w:val="32"/>
          <w:szCs w:val="2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3. 新能源载具：2026年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，矿区、园区短倒运输新能源替代比例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提升至</w:t>
      </w:r>
      <w:r>
        <w:rPr>
          <w:rFonts w:hint="default" w:eastAsia="仿宋_GB2312"/>
          <w:sz w:val="32"/>
          <w:szCs w:val="2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val="en-US" w:eastAsia="zh-CN"/>
        </w:rPr>
        <w:t>%，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启动矿区、园区充换储一体化服务网络布局建设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，完成焦化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、钢铁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行业非道路移动机械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val="en-US" w:eastAsia="zh-CN"/>
        </w:rPr>
        <w:t>100%新能源替换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2027年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物流运输企业新能源载具使用率较上年明显提高，充换储一体化服务网络覆盖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达到</w:t>
      </w:r>
      <w:r>
        <w:rPr>
          <w:rFonts w:hint="eastAsia" w:eastAsia="仿宋_GB2312"/>
          <w:sz w:val="32"/>
          <w:szCs w:val="22"/>
          <w:highlight w:val="none"/>
          <w:lang w:val="en-US" w:eastAsia="zh-CN"/>
        </w:rPr>
        <w:t>50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%以上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矿区、园区短倒运输新能源替代率达到</w:t>
      </w:r>
      <w:r>
        <w:rPr>
          <w:rFonts w:hint="default" w:eastAsia="仿宋_GB2312"/>
          <w:sz w:val="32"/>
          <w:szCs w:val="2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%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，完成水泥行业非道路移动机械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val="en-US" w:eastAsia="zh-CN"/>
        </w:rPr>
        <w:t>100%新能源替换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2028年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物流运输企业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中长途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新能源载具使用率实现逐年提升目标，建成全覆盖的矿区、园区充换储一体化服务网络，短倒运输新能源替代率达到</w:t>
      </w:r>
      <w:r>
        <w:rPr>
          <w:rFonts w:hint="eastAsia" w:eastAsia="仿宋_GB2312"/>
          <w:sz w:val="32"/>
          <w:szCs w:val="22"/>
          <w:highlight w:val="none"/>
          <w:lang w:val="en-US" w:eastAsia="zh-CN"/>
        </w:rPr>
        <w:t>60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%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，完成煤炭采选行业非道路移动机械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val="en-US" w:eastAsia="zh-CN"/>
        </w:rPr>
        <w:t>100%新能源替换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，对纳入超低排放改造范围的相关行业，清洁运输比例需达到80%。鼓励具备条件的区及运输企业，通过甩挂运输等模式，进一步提升新能源车辆运输比例及装卸效率。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22"/>
          <w:highlight w:val="none"/>
        </w:rPr>
      </w:pPr>
      <w:r>
        <w:rPr>
          <w:rFonts w:hint="eastAsia" w:ascii="黑体" w:hAnsi="黑体" w:eastAsia="黑体" w:cs="黑体"/>
          <w:sz w:val="32"/>
          <w:szCs w:val="22"/>
          <w:highlight w:val="none"/>
        </w:rPr>
        <w:t>二、重点推广任务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（一）可降解</w:t>
      </w:r>
      <w:r>
        <w:rPr>
          <w:rFonts w:hint="default" w:ascii="楷体_GB2312" w:hAnsi="楷体_GB2312" w:eastAsia="楷体_GB2312" w:cs="楷体_GB2312"/>
          <w:sz w:val="32"/>
          <w:szCs w:val="22"/>
          <w:highlight w:val="none"/>
          <w:lang w:val="en-US"/>
        </w:rPr>
        <w:t>新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材料推广应用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1. 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日常</w:t>
      </w: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消费场景广泛覆盖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全市各级党政机关、事业单位、国有企业全面采购可降解办公用品、餐饮用具及包装材料，机场、车站、景区等公共场所禁止使用不可降解塑料制品，打造“无塑公共场所”示范场景。餐饮行业、商场、超市、农贸市场全面使用可降解餐具、塑料袋、购物袋，快递包装、餐饮外卖平台全面推广可降解包装袋。加强可降解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新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材料产品质量监管，建立健全产品抽检、溯源管理机制，保障市场供应产品符合国家标准；鼓励本地企业扩能增产，引进优质产业链项目，稳定产能供应，满足市场需求。常态化开展“绿色消费进社区”活动，引导群众在日常消费中优先选择可降解制品，形成全场景替代、全民参与的消费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sz w:val="32"/>
          <w:szCs w:val="2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2. 农业生产场景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扩大</w:t>
      </w: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推广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。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开展地膜科学使用回收项目，支持在适宜区域推广全生物可降解地膜，探索可降解新材料在育苗容器等农业生产中的应用，支持农资企业配套销售可降解包装农资产品。强化农业用可降解材料质量把控，针对地膜、育苗容器等产品开展专项检测，确保耐候性、降解性等指标满足农业生产需求；推动产学研协同攻关，优化产品配方工艺，提升本地产能适配度，保障农业生产应用供给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3. 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工业大宗</w:t>
      </w: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场景深度拓展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引导食品加工、医药、电商等行业使用可降解包装材料；在工业园区推广可降解工业包装、周转材料，建设乌达区可降解新材料循环利用示范园区。围绕工业级可降解材料应用需求，建立企业供需对接机制，推动生产企业根据下游行业标准定制化研发产品，保障产品质量与供应时效；总结提炼我市可降解新材料推广应用的典型经验与模式，形成标准化实施方案，积极向自治区乃至全国推广，打造可复制、可借鉴的示范样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 xml:space="preserve">（二）固态电池推广应用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1. 电源侧规模化场景布局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  <w:t>落实国务院清洁能源领域场景要求，对新建新能源项目按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政策要求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  <w:t>比例配建储能设施。依托乌海及周边地区可再生能源资源，在乌海及周边地区优先推广固态电池储能技术，配套建设固态电池储能电站，重点推进使用固态电池储能设备，提升储能电站能力。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2. 电网侧关键节点场景部署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  <w:t>在负荷密集区、电网枢纽点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  <w:t>建设电网侧独立固态储能电站，提升电力就近平衡与应急保障能力，打造‘新型储能+市电’双保障供电场景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b/>
          <w:bCs/>
          <w:sz w:val="32"/>
          <w:szCs w:val="2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3. 用户侧多元场景应用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向重点用电单位推广：响应国家数字经济、工业领域场景要求，推动医疗机构、数据中心、算力中心、通信基站、消防等24小时不间断供电单位，以及高耗能企业、工业园区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建设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用户侧固态储能项目。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向共享经济行业推广：引导共享电动车、自行车、移动充电宝、充电桩等运营单位，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积极使用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固态电池，提升供电稳定性与续航能力。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向汽车装备制造企业推广：鼓励新能源载具生产企业，在其生产运营的新能源矿卡、重卡、装载机及纯电动通勤客运车中，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推广使用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固态电池。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向市属国有企业推广：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结合市属国有企业实际经营情况，鼓励有条件的市属国企在新增或更新公交车、出租车时优先使用固态电池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4. 跨领域融合场景示范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重点支持固态电池一体化产业链龙头企业建设储能系统示范工程，推广“储能+矿山”“储能+应急”“储能+数据中心”融合场景，争取建设自治区级固态电池储能创新示范基地，挖掘低空经济、高端消费电子等新兴应用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（三）新能源载具推广应用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1. 公共出行场景全面替代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结合乌海市绿色交通发展实际，落实重点领域清洁运输相关要求，新增及更新城市垃圾清运、道路保洁等环卫车辆和市政作业车辆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全部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选用新能源车型；新增公交车全部选用新能源车型，鼓励出租车更新为新能源车型；以尊重企业意愿为主、政策引导为辅，对购置配套固态电池的新能源车辆给予补贴，加快公共出行及市政环卫领域新能源载具更新换代，打造绿色公共交通示范城市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b/>
          <w:bCs/>
          <w:sz w:val="32"/>
          <w:szCs w:val="2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2. 重点行业场景专项推广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向矿区及煤炭采选企业推广：立足乌海市煤炭产业发展实际，响应矿山安全领域相关部署，依托矿区整合及“三化”改造契机，强化矿区运输车辆环保管理，向矿区采选企业推广新能源重型矿卡、工程机械及作业车辆，同等条件下优先选用本地生产的新能源载具，推动矿区短倒运输环节新能源车辆</w:t>
      </w:r>
      <w:r>
        <w:rPr>
          <w:rFonts w:hint="eastAsia" w:eastAsia="仿宋_GB2312"/>
          <w:sz w:val="32"/>
          <w:szCs w:val="22"/>
          <w:highlight w:val="none"/>
          <w:lang w:val="en-US" w:eastAsia="zh-CN"/>
        </w:rPr>
        <w:t>100%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替代。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向厂区、物流园区推广：落实物流领域绿色发展要求，推进厂区、物流园区交通工具绿色化改造和功能提升，聚焦园区内短倒运输场景，实现短倒运输新能源车辆</w:t>
      </w:r>
      <w:r>
        <w:rPr>
          <w:rFonts w:hint="eastAsia" w:eastAsia="仿宋_GB2312"/>
          <w:sz w:val="32"/>
          <w:szCs w:val="22"/>
          <w:highlight w:val="none"/>
          <w:lang w:val="en-US" w:eastAsia="zh-CN"/>
        </w:rPr>
        <w:t>100%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替代，引导优先使用新能源牵引车、配送车开展清洁运输，建设新能源载具示范运营区，打造绿色物流与新能源载具融合应用的场景标杆。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向旅游景区推广：结合乌海市文旅产业发展实际，鼓励旅游景区使用新能源观光车、通勤车，支持景区开展新能源观光车规范化运营试点，打造便捷化、标准化的绿色出行场景。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3. 基础设施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及</w:t>
      </w:r>
      <w:r>
        <w:rPr>
          <w:rFonts w:hint="eastAsia" w:ascii="Times New Roman" w:hAnsi="Times New Roman" w:eastAsia="仿宋_GB2312"/>
          <w:b/>
          <w:bCs/>
          <w:sz w:val="32"/>
          <w:szCs w:val="22"/>
          <w:highlight w:val="none"/>
        </w:rPr>
        <w:t>配套场景建设</w:t>
      </w:r>
      <w:r>
        <w:rPr>
          <w:rFonts w:hint="eastAsia" w:eastAsia="仿宋_GB2312"/>
          <w:b/>
          <w:bCs/>
          <w:sz w:val="32"/>
          <w:szCs w:val="2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按照能源供给与产业发展同步推进的要求，结合乌海市城乡建设实际，2027年前建成一批覆盖城市主干道、公路服务区、工业园区及乡镇的集中式充换电站、分散式充电桩。开辟充换电基础设施项目审批、建设、运营绿色通道，简化流程、压缩时限，保障项目高效落地；明确新能源载具电池重量不计入车辆载重范围，切实减轻运营负担；同时在收费站等公共场所设立新能源车辆通行绿色通道，优化通行服务，提升新能源车辆通行效率，构建新能源载具协同应用的基础设施支撑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22"/>
          <w:highlight w:val="none"/>
        </w:rPr>
      </w:pPr>
      <w:r>
        <w:rPr>
          <w:rFonts w:hint="eastAsia" w:ascii="黑体" w:hAnsi="黑体" w:eastAsia="黑体" w:cs="黑体"/>
          <w:sz w:val="32"/>
          <w:szCs w:val="22"/>
          <w:highlight w:val="none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（一）强化政策扶持。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严格执行政府优先采购机制，提高三类产品在政府采购中的占比，落实国务院“场景资源公平配置”要求，鼓励民营企业参与场景建设。引导金融机构推出专项信贷产品，给予重点产品生产企业利率优惠，发挥产业基金引导示范作用，重点支持推广应用项目及产业链配套企业。建立新能源载具绿色通道，简化新能源矿卡、重卡、纯电动通勤车等搭载固态电池载具的登记、年检及路权审批流程，保障其通行便利。引导企业聚焦市场需求优化产品供给，推动产品性能、性价比与市场需求精准适配，同时加强产品价格、质量及产能保障，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加强产品价格明码标价监管力度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，防止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出现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恶意涨价或低价倾销</w:t>
      </w:r>
      <w:r>
        <w:rPr>
          <w:rFonts w:hint="eastAsia" w:eastAsia="仿宋_GB2312"/>
          <w:sz w:val="32"/>
          <w:szCs w:val="22"/>
          <w:highlight w:val="none"/>
          <w:lang w:eastAsia="zh-CN"/>
        </w:rPr>
        <w:t>的价格违法行为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；强化产品质量抽检与溯源管理，确保产品符合国家标准；支持企业扩能技改与产业链招商，稳定产能供应。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（二）支持科技创新。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依托院士工作站、高校、科研院所等平台，聚焦固态电池电解质、可降解材料改性等关键技术，对攻关项目给予支持。落实国务院“完善场景创新制度基础”的要求，支持企业参与国家、行业标准制定并给予相应补贴。落实国家与自治区关于场景创新、开放共享、供需对接的部署，搭建产学研用协同平台，为场景应用提供技术服务，定期举办产业发展大会和供需对接活动，发布应用场景项目清单，推动企业通过供需对接精准把握市场需求，联合科研机构开发符合消费端、产业端实际需求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（三）优化服务保障。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深入落实国务院“拓宽拓深市场准入”要求，建立重点产业推广应用工作组制度，全程跟踪服务重点场景项目。通过政府网站、新闻媒体等平台宣传三类产品的环保优势与场景应用案例，做好向外界推广产品工作，组织企业参加区内外展会、推介会，搭建线上线下展示交易平台，扩大产品区外市场影响力。建立市场需求动态研判机制，定期发布三类产品市场需求趋势、消费偏好及应用痛点报告，引导企业及时调整产品研发、生产及推广策略，向市场认可度高、应用前景广的产品方向靠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22"/>
          <w:highlight w:val="none"/>
        </w:rPr>
        <w:t>（四）加强组织实施。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由市政府主要领导牵头，建立乌海市新场景大规模应用推广专班（见附件），并按照重点产品分类设置相关推介工作组，各组负责制定重点产品推介具体措施，细化任务清单与时间节点；各区政府落实属地责任，结合实际制定辖区推广计划，并建立场景应用效果评估机制，把企业产品市场适配度、用户满意度、产品价格稳定性、质量达标率及产能保障水平作为评估重要指标。及时根据市场反馈优化调整政策措施，确保三类产品推广符合市场需求导向，保障推广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sz w:val="32"/>
          <w:szCs w:val="2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sz w:val="3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7" w:bottom="1701" w:left="1531" w:header="851" w:footer="992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94"/>
    <w:rsid w:val="000B0CBA"/>
    <w:rsid w:val="000B6698"/>
    <w:rsid w:val="00130197"/>
    <w:rsid w:val="00141304"/>
    <w:rsid w:val="00182C8D"/>
    <w:rsid w:val="00230788"/>
    <w:rsid w:val="00234243"/>
    <w:rsid w:val="00267994"/>
    <w:rsid w:val="002C7D96"/>
    <w:rsid w:val="003F1D96"/>
    <w:rsid w:val="00420B0E"/>
    <w:rsid w:val="0044201F"/>
    <w:rsid w:val="004A66F3"/>
    <w:rsid w:val="004B1D8D"/>
    <w:rsid w:val="004C0B94"/>
    <w:rsid w:val="004C1E8A"/>
    <w:rsid w:val="005A1CA4"/>
    <w:rsid w:val="005B0E89"/>
    <w:rsid w:val="005C45F9"/>
    <w:rsid w:val="006C7724"/>
    <w:rsid w:val="00772DFD"/>
    <w:rsid w:val="00794164"/>
    <w:rsid w:val="007949BC"/>
    <w:rsid w:val="00826A18"/>
    <w:rsid w:val="008272FA"/>
    <w:rsid w:val="00884A44"/>
    <w:rsid w:val="009263C4"/>
    <w:rsid w:val="00990895"/>
    <w:rsid w:val="00A624D0"/>
    <w:rsid w:val="00B57706"/>
    <w:rsid w:val="00B66154"/>
    <w:rsid w:val="00BA4094"/>
    <w:rsid w:val="00C53247"/>
    <w:rsid w:val="00D9748D"/>
    <w:rsid w:val="00E0760B"/>
    <w:rsid w:val="00ED40C2"/>
    <w:rsid w:val="00F12DAE"/>
    <w:rsid w:val="00F278A4"/>
    <w:rsid w:val="0C76D654"/>
    <w:rsid w:val="16EE2C08"/>
    <w:rsid w:val="1BA5D935"/>
    <w:rsid w:val="1BFF9C12"/>
    <w:rsid w:val="1F7FEC53"/>
    <w:rsid w:val="1FCDD47C"/>
    <w:rsid w:val="1FEF52A1"/>
    <w:rsid w:val="255D5F8F"/>
    <w:rsid w:val="2BFDD4F1"/>
    <w:rsid w:val="2DFEB5FE"/>
    <w:rsid w:val="2FFF1A7B"/>
    <w:rsid w:val="37BACEC6"/>
    <w:rsid w:val="37DF812C"/>
    <w:rsid w:val="37F3081D"/>
    <w:rsid w:val="37F42577"/>
    <w:rsid w:val="37FF7CCD"/>
    <w:rsid w:val="397DCB7D"/>
    <w:rsid w:val="39FE2AAA"/>
    <w:rsid w:val="3A8B5530"/>
    <w:rsid w:val="3AB3C81B"/>
    <w:rsid w:val="3AFFBEAE"/>
    <w:rsid w:val="3BFCC5B8"/>
    <w:rsid w:val="3D5B48EB"/>
    <w:rsid w:val="3D785EA8"/>
    <w:rsid w:val="3D7E3A4B"/>
    <w:rsid w:val="3D7F4A74"/>
    <w:rsid w:val="3DFFB326"/>
    <w:rsid w:val="3DFFC106"/>
    <w:rsid w:val="3DFFD165"/>
    <w:rsid w:val="3EDD394B"/>
    <w:rsid w:val="3EDF2C15"/>
    <w:rsid w:val="3EEF75EF"/>
    <w:rsid w:val="3F7F440A"/>
    <w:rsid w:val="3FFBBEE4"/>
    <w:rsid w:val="3FFD8CCB"/>
    <w:rsid w:val="3FFEBAFF"/>
    <w:rsid w:val="473F20AE"/>
    <w:rsid w:val="4B6F0BB9"/>
    <w:rsid w:val="4BFEB8D3"/>
    <w:rsid w:val="4F77E770"/>
    <w:rsid w:val="4FBE8358"/>
    <w:rsid w:val="4FFBF0B6"/>
    <w:rsid w:val="52FED5F3"/>
    <w:rsid w:val="545D6DE5"/>
    <w:rsid w:val="565FF956"/>
    <w:rsid w:val="5755175F"/>
    <w:rsid w:val="576D7E1F"/>
    <w:rsid w:val="57CB3773"/>
    <w:rsid w:val="57FFF7D1"/>
    <w:rsid w:val="58EF193D"/>
    <w:rsid w:val="59B9959D"/>
    <w:rsid w:val="5B7A78C6"/>
    <w:rsid w:val="5C9E0DFD"/>
    <w:rsid w:val="5CF23AB3"/>
    <w:rsid w:val="5DBBAE9F"/>
    <w:rsid w:val="5DBE4B72"/>
    <w:rsid w:val="5DFD57A0"/>
    <w:rsid w:val="5E5E5FD2"/>
    <w:rsid w:val="5F95A031"/>
    <w:rsid w:val="5F979003"/>
    <w:rsid w:val="5FACD6C0"/>
    <w:rsid w:val="5FDF3CB3"/>
    <w:rsid w:val="5FFF8D3A"/>
    <w:rsid w:val="637E2DAB"/>
    <w:rsid w:val="64317765"/>
    <w:rsid w:val="65FF961D"/>
    <w:rsid w:val="67DBB9AF"/>
    <w:rsid w:val="67F65904"/>
    <w:rsid w:val="6A28B9A6"/>
    <w:rsid w:val="6A3F9089"/>
    <w:rsid w:val="6A7B5466"/>
    <w:rsid w:val="6B1D9984"/>
    <w:rsid w:val="6B5FB397"/>
    <w:rsid w:val="6BBF47F4"/>
    <w:rsid w:val="6BDD11F6"/>
    <w:rsid w:val="6C331652"/>
    <w:rsid w:val="6DFAB4A4"/>
    <w:rsid w:val="6ED73C74"/>
    <w:rsid w:val="6EE1C5DE"/>
    <w:rsid w:val="6EFF5A5D"/>
    <w:rsid w:val="6FBFE98F"/>
    <w:rsid w:val="6FF59694"/>
    <w:rsid w:val="6FFBD79A"/>
    <w:rsid w:val="719B1603"/>
    <w:rsid w:val="7415EDB0"/>
    <w:rsid w:val="7497574E"/>
    <w:rsid w:val="75AF8BE0"/>
    <w:rsid w:val="75D710D0"/>
    <w:rsid w:val="75F50709"/>
    <w:rsid w:val="766F0232"/>
    <w:rsid w:val="76BC7E08"/>
    <w:rsid w:val="76FFF78C"/>
    <w:rsid w:val="777D81F3"/>
    <w:rsid w:val="777EA5CA"/>
    <w:rsid w:val="77C7A320"/>
    <w:rsid w:val="77DBC7AB"/>
    <w:rsid w:val="77FD220C"/>
    <w:rsid w:val="78CF402B"/>
    <w:rsid w:val="78FF7B34"/>
    <w:rsid w:val="7B49F245"/>
    <w:rsid w:val="7B7BA8FB"/>
    <w:rsid w:val="7BBF40B5"/>
    <w:rsid w:val="7BBF8B64"/>
    <w:rsid w:val="7BDF66E6"/>
    <w:rsid w:val="7BE57235"/>
    <w:rsid w:val="7BFE3D82"/>
    <w:rsid w:val="7C767FFF"/>
    <w:rsid w:val="7CA841E4"/>
    <w:rsid w:val="7CB36F58"/>
    <w:rsid w:val="7D9F98F1"/>
    <w:rsid w:val="7DBD9EA6"/>
    <w:rsid w:val="7DDE97B9"/>
    <w:rsid w:val="7DEFB0D1"/>
    <w:rsid w:val="7DFCC0C7"/>
    <w:rsid w:val="7DFF1796"/>
    <w:rsid w:val="7DFF803C"/>
    <w:rsid w:val="7E1FC8D1"/>
    <w:rsid w:val="7E4BC4E0"/>
    <w:rsid w:val="7E73B029"/>
    <w:rsid w:val="7E96257C"/>
    <w:rsid w:val="7E9FBB24"/>
    <w:rsid w:val="7EDE007F"/>
    <w:rsid w:val="7EEF3BD8"/>
    <w:rsid w:val="7EF3135B"/>
    <w:rsid w:val="7EF34EA5"/>
    <w:rsid w:val="7EFEF515"/>
    <w:rsid w:val="7EFFD402"/>
    <w:rsid w:val="7F6EDF1B"/>
    <w:rsid w:val="7F77E47F"/>
    <w:rsid w:val="7F9B11A5"/>
    <w:rsid w:val="7F9FBE9C"/>
    <w:rsid w:val="7FBD1AB9"/>
    <w:rsid w:val="7FBF7B60"/>
    <w:rsid w:val="7FCFAC56"/>
    <w:rsid w:val="7FCFE840"/>
    <w:rsid w:val="7FE7F590"/>
    <w:rsid w:val="7FE989D2"/>
    <w:rsid w:val="7FEC29C4"/>
    <w:rsid w:val="7FED96C0"/>
    <w:rsid w:val="7FEF71C7"/>
    <w:rsid w:val="7FF9D17E"/>
    <w:rsid w:val="7FFA4B11"/>
    <w:rsid w:val="7FFE1345"/>
    <w:rsid w:val="7FFF4FE0"/>
    <w:rsid w:val="7FFF877F"/>
    <w:rsid w:val="81F77D65"/>
    <w:rsid w:val="8BFF0DDB"/>
    <w:rsid w:val="8DFF9C37"/>
    <w:rsid w:val="8FDF82A5"/>
    <w:rsid w:val="8FEBC496"/>
    <w:rsid w:val="8FEF1516"/>
    <w:rsid w:val="96B96731"/>
    <w:rsid w:val="9E6FB238"/>
    <w:rsid w:val="9EE4BFE2"/>
    <w:rsid w:val="9FF15A07"/>
    <w:rsid w:val="A36F8E34"/>
    <w:rsid w:val="A6EB885A"/>
    <w:rsid w:val="AB3680E3"/>
    <w:rsid w:val="ADE9A5AB"/>
    <w:rsid w:val="ADFA65FF"/>
    <w:rsid w:val="AED00B04"/>
    <w:rsid w:val="AFF32CC4"/>
    <w:rsid w:val="B2FFC99A"/>
    <w:rsid w:val="B37F5F82"/>
    <w:rsid w:val="B5983D25"/>
    <w:rsid w:val="B7BE8495"/>
    <w:rsid w:val="B7DE523F"/>
    <w:rsid w:val="B7F3380B"/>
    <w:rsid w:val="B7FA2CA8"/>
    <w:rsid w:val="B9FF94A8"/>
    <w:rsid w:val="BB2D21D5"/>
    <w:rsid w:val="BBFA4CF0"/>
    <w:rsid w:val="BBFB0ECB"/>
    <w:rsid w:val="BD9E9449"/>
    <w:rsid w:val="BDD74D55"/>
    <w:rsid w:val="BDE42718"/>
    <w:rsid w:val="BDF248E5"/>
    <w:rsid w:val="BDFD6EA6"/>
    <w:rsid w:val="BEEF3DDF"/>
    <w:rsid w:val="BEF51607"/>
    <w:rsid w:val="BEF797EA"/>
    <w:rsid w:val="BEFCC6B0"/>
    <w:rsid w:val="BF737F7B"/>
    <w:rsid w:val="BF771F4E"/>
    <w:rsid w:val="BF793D7C"/>
    <w:rsid w:val="BF7A4F6B"/>
    <w:rsid w:val="BFBBB121"/>
    <w:rsid w:val="BFBBEDE2"/>
    <w:rsid w:val="BFBD1FBC"/>
    <w:rsid w:val="BFBF2105"/>
    <w:rsid w:val="BFDFDA8A"/>
    <w:rsid w:val="BFFC6486"/>
    <w:rsid w:val="BFFF3677"/>
    <w:rsid w:val="BFFFE433"/>
    <w:rsid w:val="CAFE6FE2"/>
    <w:rsid w:val="CBEBDB2E"/>
    <w:rsid w:val="CCF53BB9"/>
    <w:rsid w:val="CCFFBD5A"/>
    <w:rsid w:val="CDFC3E9F"/>
    <w:rsid w:val="CF65609D"/>
    <w:rsid w:val="CFF9F4D0"/>
    <w:rsid w:val="D1DEF9C0"/>
    <w:rsid w:val="D47FC251"/>
    <w:rsid w:val="D5DCFA45"/>
    <w:rsid w:val="D6F7205E"/>
    <w:rsid w:val="D76FF2FC"/>
    <w:rsid w:val="D7FCA24B"/>
    <w:rsid w:val="D93F91FE"/>
    <w:rsid w:val="D9BFB98F"/>
    <w:rsid w:val="DAB5B4AA"/>
    <w:rsid w:val="DAFFCFFD"/>
    <w:rsid w:val="DC97436D"/>
    <w:rsid w:val="DCFFC288"/>
    <w:rsid w:val="DD5BD35B"/>
    <w:rsid w:val="DDBE01BC"/>
    <w:rsid w:val="DDD33D1D"/>
    <w:rsid w:val="DEFBBFAA"/>
    <w:rsid w:val="DF5A42A3"/>
    <w:rsid w:val="DF5E2B9C"/>
    <w:rsid w:val="DF6FA1C7"/>
    <w:rsid w:val="DF7BDA8A"/>
    <w:rsid w:val="DFBB651E"/>
    <w:rsid w:val="DFBEC045"/>
    <w:rsid w:val="DFBF180D"/>
    <w:rsid w:val="DFF39981"/>
    <w:rsid w:val="DFF563A6"/>
    <w:rsid w:val="DFFBF83F"/>
    <w:rsid w:val="E177688C"/>
    <w:rsid w:val="E3F38E5C"/>
    <w:rsid w:val="E5F39E56"/>
    <w:rsid w:val="E7B7905F"/>
    <w:rsid w:val="E7DE94B6"/>
    <w:rsid w:val="E9F797AD"/>
    <w:rsid w:val="EA761E7C"/>
    <w:rsid w:val="EBF153A3"/>
    <w:rsid w:val="EBF5B974"/>
    <w:rsid w:val="EBFDCB51"/>
    <w:rsid w:val="ED915F23"/>
    <w:rsid w:val="EDEED308"/>
    <w:rsid w:val="EDEF5B5F"/>
    <w:rsid w:val="EDF6E31D"/>
    <w:rsid w:val="EDF7605E"/>
    <w:rsid w:val="EDFF10DE"/>
    <w:rsid w:val="EEF7CB6B"/>
    <w:rsid w:val="EF1E335E"/>
    <w:rsid w:val="EFE786CD"/>
    <w:rsid w:val="EFF910BA"/>
    <w:rsid w:val="EFFB82D2"/>
    <w:rsid w:val="EFFB8B10"/>
    <w:rsid w:val="EFFBEA76"/>
    <w:rsid w:val="EFFE5E60"/>
    <w:rsid w:val="EFFF7AEB"/>
    <w:rsid w:val="F1A208B2"/>
    <w:rsid w:val="F37C4BD6"/>
    <w:rsid w:val="F395AADF"/>
    <w:rsid w:val="F3FED6C4"/>
    <w:rsid w:val="F4EDD556"/>
    <w:rsid w:val="F5A61B69"/>
    <w:rsid w:val="F5CFB319"/>
    <w:rsid w:val="F5EBEE5B"/>
    <w:rsid w:val="F5F149F5"/>
    <w:rsid w:val="F6EB85FA"/>
    <w:rsid w:val="F7736BDE"/>
    <w:rsid w:val="F77B6863"/>
    <w:rsid w:val="F79F55AE"/>
    <w:rsid w:val="F7B338CD"/>
    <w:rsid w:val="F7BB34C7"/>
    <w:rsid w:val="F7C35008"/>
    <w:rsid w:val="F7F981DE"/>
    <w:rsid w:val="F7FB4AF0"/>
    <w:rsid w:val="F7FD9A8C"/>
    <w:rsid w:val="F7FF7D8C"/>
    <w:rsid w:val="F7FFE92C"/>
    <w:rsid w:val="F95E079B"/>
    <w:rsid w:val="F969C509"/>
    <w:rsid w:val="F97DE1FF"/>
    <w:rsid w:val="F9DF27E4"/>
    <w:rsid w:val="FABF65D3"/>
    <w:rsid w:val="FAFFF298"/>
    <w:rsid w:val="FB1EC413"/>
    <w:rsid w:val="FB3F035C"/>
    <w:rsid w:val="FB9B26F5"/>
    <w:rsid w:val="FBAF1447"/>
    <w:rsid w:val="FBBDFD75"/>
    <w:rsid w:val="FBFD0518"/>
    <w:rsid w:val="FBFDA05A"/>
    <w:rsid w:val="FBFF227B"/>
    <w:rsid w:val="FCB76331"/>
    <w:rsid w:val="FCF6DE7A"/>
    <w:rsid w:val="FCF9734E"/>
    <w:rsid w:val="FD364DE1"/>
    <w:rsid w:val="FD7F2E80"/>
    <w:rsid w:val="FD9F6908"/>
    <w:rsid w:val="FDBF517B"/>
    <w:rsid w:val="FDCBCAA8"/>
    <w:rsid w:val="FDD956F1"/>
    <w:rsid w:val="FDDD0E76"/>
    <w:rsid w:val="FDDFA877"/>
    <w:rsid w:val="FDDFE6B1"/>
    <w:rsid w:val="FDDFE735"/>
    <w:rsid w:val="FDFFD151"/>
    <w:rsid w:val="FE6D130B"/>
    <w:rsid w:val="FE77B5BD"/>
    <w:rsid w:val="FE7FBD48"/>
    <w:rsid w:val="FEAD45C1"/>
    <w:rsid w:val="FED79DFD"/>
    <w:rsid w:val="FEF3F483"/>
    <w:rsid w:val="FEFBF694"/>
    <w:rsid w:val="FEFF80FD"/>
    <w:rsid w:val="FF596D42"/>
    <w:rsid w:val="FF6F962E"/>
    <w:rsid w:val="FF73F321"/>
    <w:rsid w:val="FF7FEC3C"/>
    <w:rsid w:val="FF94BF7C"/>
    <w:rsid w:val="FF9B6CDF"/>
    <w:rsid w:val="FF9FCEFB"/>
    <w:rsid w:val="FFB3A444"/>
    <w:rsid w:val="FFB713C2"/>
    <w:rsid w:val="FFBFCD13"/>
    <w:rsid w:val="FFC9CF52"/>
    <w:rsid w:val="FFE2CF03"/>
    <w:rsid w:val="FFF60AFA"/>
    <w:rsid w:val="FFF7F0F9"/>
    <w:rsid w:val="FFFBD7CA"/>
    <w:rsid w:val="FFFDCBC6"/>
    <w:rsid w:val="FFFF9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next w:val="12"/>
    <w:qFormat/>
    <w:uiPriority w:val="99"/>
    <w:pPr>
      <w:spacing w:after="120"/>
      <w:ind w:left="420" w:leftChars="200"/>
    </w:pPr>
  </w:style>
  <w:style w:type="paragraph" w:styleId="12">
    <w:name w:val="toc 2"/>
    <w:basedOn w:val="1"/>
    <w:next w:val="1"/>
    <w:qFormat/>
    <w:uiPriority w:val="99"/>
    <w:pPr>
      <w:ind w:left="420"/>
      <w:jc w:val="center"/>
    </w:pPr>
    <w:rPr>
      <w:rFonts w:ascii="黑体" w:hAnsi="Calibri" w:eastAsia="黑体" w:cs="黑体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rFonts w:ascii="Times New Roman" w:hAnsi="Times New Roman" w:eastAsia="仿宋"/>
      <w:i/>
      <w:iCs/>
      <w:color w:val="104862" w:themeColor="accent1" w:themeShade="BF"/>
      <w:sz w:val="32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4654</Words>
  <Characters>4692</Characters>
  <Lines>34</Lines>
  <Paragraphs>9</Paragraphs>
  <TotalTime>25</TotalTime>
  <ScaleCrop>false</ScaleCrop>
  <LinksUpToDate>false</LinksUpToDate>
  <CharactersWithSpaces>4769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2025-12-15T06:05:00Z</dcterms:created>
  <dc:creator>王舒雅</dc:creator>
  <cp:lastModifiedBy>wh</cp:lastModifiedBy>
  <cp:lastPrinted>2026-01-13T02:20:00Z</cp:lastPrinted>
  <dcterms:modified xsi:type="dcterms:W3CDTF">2026-01-13T16:33:58Z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eyJoZGlkIjoiNGFiOTVjNTJjZWU4NDhmZjI5NjFkY2Q3OTRjZDYyYTAiLCJ1c2VySWQiOiIyOTA4MTgzNDEifQ==</vt:lpwstr>
  </property>
  <property fmtid="{D5CDD505-2E9C-101B-9397-08002B2CF9AE}" pid="3" name="KSOProductBuildVer">
    <vt:lpwstr>2052-11.8.2.11806</vt:lpwstr>
  </property>
  <property fmtid="{D5CDD505-2E9C-101B-9397-08002B2CF9AE}" pid="4" name="ICV">
    <vt:lpwstr>0505FD4DC1CAED754C036669A5C75246</vt:lpwstr>
  </property>
</Properties>
</file>