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851E34">
      <w:pPr>
        <w:pStyle w:val="9"/>
        <w:ind w:left="0"/>
        <w:rPr>
          <w:rFonts w:ascii="Times New Roman"/>
          <w:color w:val="auto"/>
          <w:sz w:val="20"/>
          <w:highlight w:val="none"/>
        </w:rPr>
      </w:pPr>
    </w:p>
    <w:p w14:paraId="796663C5">
      <w:pPr>
        <w:pStyle w:val="9"/>
        <w:ind w:left="0"/>
        <w:rPr>
          <w:rFonts w:ascii="Times New Roman"/>
          <w:color w:val="auto"/>
          <w:sz w:val="20"/>
          <w:highlight w:val="none"/>
        </w:rPr>
      </w:pPr>
    </w:p>
    <w:p w14:paraId="3C7CECAC">
      <w:pPr>
        <w:pStyle w:val="9"/>
        <w:ind w:left="0"/>
        <w:rPr>
          <w:rFonts w:ascii="Times New Roman"/>
          <w:color w:val="auto"/>
          <w:sz w:val="20"/>
          <w:highlight w:val="none"/>
        </w:rPr>
      </w:pPr>
    </w:p>
    <w:p w14:paraId="4B4A267D">
      <w:pPr>
        <w:pStyle w:val="9"/>
        <w:ind w:left="0"/>
        <w:rPr>
          <w:rFonts w:ascii="Times New Roman"/>
          <w:color w:val="auto"/>
          <w:sz w:val="20"/>
          <w:highlight w:val="none"/>
        </w:rPr>
      </w:pPr>
    </w:p>
    <w:p w14:paraId="301CB6E1">
      <w:pPr>
        <w:pStyle w:val="9"/>
        <w:ind w:left="0"/>
        <w:rPr>
          <w:rFonts w:ascii="Times New Roman"/>
          <w:color w:val="auto"/>
          <w:sz w:val="20"/>
          <w:highlight w:val="none"/>
        </w:rPr>
      </w:pPr>
    </w:p>
    <w:p w14:paraId="15457728">
      <w:pPr>
        <w:pStyle w:val="9"/>
        <w:ind w:left="0"/>
        <w:rPr>
          <w:rFonts w:ascii="Times New Roman"/>
          <w:color w:val="auto"/>
          <w:sz w:val="20"/>
          <w:highlight w:val="none"/>
        </w:rPr>
      </w:pPr>
    </w:p>
    <w:p w14:paraId="7532E4CF">
      <w:pPr>
        <w:pStyle w:val="9"/>
        <w:spacing w:before="8"/>
        <w:ind w:left="0"/>
        <w:rPr>
          <w:rFonts w:ascii="Times New Roman"/>
          <w:b/>
          <w:bCs/>
          <w:color w:val="auto"/>
          <w:sz w:val="26"/>
          <w:highlight w:val="none"/>
        </w:rPr>
      </w:pPr>
    </w:p>
    <w:p w14:paraId="38AF9ABB">
      <w:pPr>
        <w:pStyle w:val="9"/>
        <w:spacing w:before="9" w:line="360" w:lineRule="auto"/>
        <w:ind w:left="0"/>
        <w:jc w:val="center"/>
        <w:rPr>
          <w:rFonts w:hint="eastAsia" w:eastAsia="宋体"/>
          <w:b/>
          <w:color w:val="auto"/>
          <w:sz w:val="56"/>
          <w:szCs w:val="15"/>
          <w:highlight w:val="none"/>
          <w:lang w:eastAsia="zh-CN"/>
        </w:rPr>
      </w:pPr>
      <w:r>
        <w:rPr>
          <w:rFonts w:hint="eastAsia"/>
          <w:b/>
          <w:color w:val="auto"/>
          <w:sz w:val="44"/>
          <w:szCs w:val="10"/>
          <w:highlight w:val="none"/>
          <w:lang w:eastAsia="zh-CN"/>
        </w:rPr>
        <w:t>2022年-2024年巡游出租车运营成本、浮桥通行成本监审（调查）项目</w:t>
      </w:r>
    </w:p>
    <w:p w14:paraId="69D942A6">
      <w:pPr>
        <w:pStyle w:val="9"/>
        <w:spacing w:before="9"/>
        <w:ind w:left="0"/>
        <w:rPr>
          <w:b/>
          <w:color w:val="auto"/>
          <w:sz w:val="75"/>
          <w:highlight w:val="none"/>
        </w:rPr>
      </w:pPr>
    </w:p>
    <w:p w14:paraId="64841B25">
      <w:pPr>
        <w:pStyle w:val="15"/>
        <w:rPr>
          <w:highlight w:val="none"/>
        </w:rPr>
      </w:pPr>
    </w:p>
    <w:p w14:paraId="1E603A13">
      <w:pPr>
        <w:spacing w:before="0"/>
        <w:ind w:left="295" w:right="366" w:firstLine="0"/>
        <w:jc w:val="center"/>
        <w:rPr>
          <w:b/>
          <w:color w:val="auto"/>
          <w:sz w:val="60"/>
          <w:szCs w:val="48"/>
          <w:highlight w:val="none"/>
        </w:rPr>
      </w:pPr>
      <w:r>
        <w:rPr>
          <w:b/>
          <w:color w:val="auto"/>
          <w:sz w:val="60"/>
          <w:szCs w:val="48"/>
          <w:highlight w:val="none"/>
        </w:rPr>
        <w:t>竞争性磋商文件</w:t>
      </w:r>
    </w:p>
    <w:p w14:paraId="03B09490">
      <w:pPr>
        <w:pStyle w:val="9"/>
        <w:ind w:left="0"/>
        <w:rPr>
          <w:b/>
          <w:color w:val="auto"/>
          <w:sz w:val="34"/>
          <w:highlight w:val="none"/>
        </w:rPr>
      </w:pPr>
    </w:p>
    <w:p w14:paraId="7B3B72DA">
      <w:pPr>
        <w:pStyle w:val="9"/>
        <w:ind w:left="0"/>
        <w:rPr>
          <w:b/>
          <w:color w:val="auto"/>
          <w:sz w:val="34"/>
          <w:highlight w:val="none"/>
        </w:rPr>
      </w:pPr>
    </w:p>
    <w:p w14:paraId="68F9A1F0">
      <w:pPr>
        <w:pStyle w:val="9"/>
        <w:ind w:left="0"/>
        <w:rPr>
          <w:b/>
          <w:color w:val="auto"/>
          <w:sz w:val="34"/>
          <w:highlight w:val="none"/>
        </w:rPr>
      </w:pPr>
    </w:p>
    <w:p w14:paraId="3D804BEC">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rFonts w:hint="default" w:ascii="Lucida Sans Unicode" w:eastAsia="宋体"/>
          <w:color w:val="auto"/>
          <w:sz w:val="32"/>
          <w:szCs w:val="36"/>
          <w:highlight w:val="none"/>
          <w:lang w:val="en-US" w:eastAsia="zh-CN"/>
        </w:rPr>
      </w:pPr>
      <w:r>
        <w:rPr>
          <w:rFonts w:hint="eastAsia"/>
          <w:b/>
          <w:color w:val="auto"/>
          <w:w w:val="105"/>
          <w:sz w:val="32"/>
          <w:szCs w:val="36"/>
          <w:highlight w:val="none"/>
          <w:lang w:val="en-US" w:eastAsia="zh-CN"/>
        </w:rPr>
        <w:t>项</w:t>
      </w:r>
      <w:r>
        <w:rPr>
          <w:b/>
          <w:color w:val="auto"/>
          <w:w w:val="105"/>
          <w:sz w:val="32"/>
          <w:szCs w:val="36"/>
          <w:highlight w:val="none"/>
        </w:rPr>
        <w:t>目编号：</w:t>
      </w:r>
      <w:r>
        <w:rPr>
          <w:rFonts w:hint="eastAsia"/>
          <w:b/>
          <w:color w:val="auto"/>
          <w:w w:val="105"/>
          <w:sz w:val="32"/>
          <w:szCs w:val="36"/>
          <w:highlight w:val="none"/>
          <w:lang w:eastAsia="zh-CN"/>
        </w:rPr>
        <w:t>WHSZ-2025-45</w:t>
      </w:r>
    </w:p>
    <w:p w14:paraId="7D11E854">
      <w:pPr>
        <w:pStyle w:val="9"/>
        <w:ind w:left="0"/>
        <w:rPr>
          <w:b/>
          <w:color w:val="auto"/>
          <w:sz w:val="34"/>
          <w:highlight w:val="none"/>
        </w:rPr>
      </w:pPr>
    </w:p>
    <w:p w14:paraId="097901FF">
      <w:pPr>
        <w:pStyle w:val="9"/>
        <w:ind w:left="0"/>
        <w:rPr>
          <w:b/>
          <w:color w:val="auto"/>
          <w:sz w:val="34"/>
          <w:highlight w:val="none"/>
        </w:rPr>
      </w:pPr>
    </w:p>
    <w:p w14:paraId="4DD329EA">
      <w:pPr>
        <w:pStyle w:val="9"/>
        <w:ind w:left="0"/>
        <w:rPr>
          <w:b/>
          <w:color w:val="auto"/>
          <w:sz w:val="34"/>
          <w:highlight w:val="none"/>
        </w:rPr>
      </w:pPr>
    </w:p>
    <w:p w14:paraId="10B5BBB5">
      <w:pPr>
        <w:pStyle w:val="9"/>
        <w:ind w:left="0"/>
        <w:rPr>
          <w:b/>
          <w:color w:val="auto"/>
          <w:sz w:val="34"/>
          <w:highlight w:val="none"/>
        </w:rPr>
      </w:pPr>
    </w:p>
    <w:p w14:paraId="630419D3">
      <w:pPr>
        <w:pStyle w:val="9"/>
        <w:ind w:left="0"/>
        <w:rPr>
          <w:b/>
          <w:color w:val="auto"/>
          <w:sz w:val="34"/>
          <w:highlight w:val="none"/>
        </w:rPr>
      </w:pPr>
    </w:p>
    <w:p w14:paraId="583593EB">
      <w:pPr>
        <w:pStyle w:val="9"/>
        <w:spacing w:before="6"/>
        <w:rPr>
          <w:b/>
          <w:color w:val="auto"/>
          <w:sz w:val="30"/>
          <w:szCs w:val="30"/>
          <w:highlight w:val="none"/>
        </w:rPr>
      </w:pPr>
    </w:p>
    <w:p w14:paraId="2E5440F9">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left"/>
        <w:textAlignment w:val="auto"/>
        <w:rPr>
          <w:rFonts w:hint="eastAsia" w:eastAsia="宋体"/>
          <w:color w:val="auto"/>
          <w:sz w:val="30"/>
          <w:szCs w:val="30"/>
          <w:highlight w:val="none"/>
          <w:lang w:eastAsia="zh-CN"/>
        </w:rPr>
      </w:pPr>
      <w:bookmarkStart w:id="0" w:name="_Toc714"/>
      <w:bookmarkStart w:id="1" w:name="_Toc25384"/>
      <w:bookmarkStart w:id="2" w:name="_Toc32100"/>
      <w:bookmarkStart w:id="3" w:name="_Toc6595"/>
      <w:bookmarkStart w:id="4" w:name="_Toc23458"/>
      <w:bookmarkStart w:id="5" w:name="_Toc872"/>
      <w:bookmarkStart w:id="6" w:name="_Toc28163"/>
      <w:r>
        <w:rPr>
          <w:color w:val="auto"/>
          <w:sz w:val="30"/>
          <w:szCs w:val="30"/>
          <w:highlight w:val="none"/>
        </w:rPr>
        <w:t>采购单位名称：</w:t>
      </w:r>
      <w:r>
        <w:rPr>
          <w:rFonts w:hint="eastAsia"/>
          <w:color w:val="auto"/>
          <w:sz w:val="30"/>
          <w:szCs w:val="30"/>
          <w:highlight w:val="none"/>
          <w:lang w:eastAsia="zh-CN"/>
        </w:rPr>
        <w:t>乌海市发展和改革委员会</w:t>
      </w:r>
      <w:r>
        <w:rPr>
          <w:rFonts w:hint="eastAsia"/>
          <w:color w:val="auto"/>
          <w:sz w:val="30"/>
          <w:szCs w:val="30"/>
          <w:highlight w:val="none"/>
          <w:lang w:val="en-US" w:eastAsia="zh-CN"/>
        </w:rPr>
        <w:t xml:space="preserve"> </w:t>
      </w:r>
      <w:r>
        <w:rPr>
          <w:rFonts w:hint="eastAsia"/>
          <w:color w:val="auto"/>
          <w:sz w:val="30"/>
          <w:szCs w:val="30"/>
          <w:highlight w:val="none"/>
          <w:lang w:eastAsia="zh-CN"/>
        </w:rPr>
        <w:t>（</w:t>
      </w:r>
      <w:r>
        <w:rPr>
          <w:rFonts w:hint="eastAsia"/>
          <w:color w:val="auto"/>
          <w:sz w:val="30"/>
          <w:szCs w:val="30"/>
          <w:highlight w:val="none"/>
          <w:lang w:val="en-US" w:eastAsia="zh-CN"/>
        </w:rPr>
        <w:t>盖章</w:t>
      </w:r>
      <w:r>
        <w:rPr>
          <w:rFonts w:hint="eastAsia"/>
          <w:color w:val="auto"/>
          <w:sz w:val="30"/>
          <w:szCs w:val="30"/>
          <w:highlight w:val="none"/>
          <w:lang w:eastAsia="zh-CN"/>
        </w:rPr>
        <w:t>）</w:t>
      </w:r>
      <w:bookmarkEnd w:id="0"/>
      <w:bookmarkEnd w:id="1"/>
      <w:bookmarkEnd w:id="2"/>
      <w:bookmarkEnd w:id="3"/>
      <w:bookmarkEnd w:id="4"/>
    </w:p>
    <w:p w14:paraId="7A2D40FA">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left"/>
        <w:textAlignment w:val="auto"/>
        <w:rPr>
          <w:b/>
          <w:color w:val="auto"/>
          <w:sz w:val="30"/>
          <w:szCs w:val="30"/>
          <w:highlight w:val="none"/>
        </w:rPr>
      </w:pPr>
      <w:r>
        <w:rPr>
          <w:rFonts w:hint="eastAsia"/>
          <w:color w:val="auto"/>
          <w:sz w:val="30"/>
          <w:szCs w:val="30"/>
          <w:highlight w:val="none"/>
          <w:lang w:val="en-US" w:eastAsia="zh-CN"/>
        </w:rPr>
        <w:t xml:space="preserve">                       </w:t>
      </w:r>
      <w:bookmarkEnd w:id="5"/>
      <w:bookmarkEnd w:id="6"/>
    </w:p>
    <w:p w14:paraId="3D279ABE">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left"/>
        <w:textAlignment w:val="auto"/>
        <w:rPr>
          <w:rFonts w:ascii="Lucida Sans Unicode"/>
          <w:color w:val="auto"/>
          <w:sz w:val="24"/>
          <w:highlight w:val="none"/>
        </w:rPr>
      </w:pPr>
      <w:bookmarkStart w:id="7" w:name="_Toc18443"/>
      <w:bookmarkStart w:id="8" w:name="_Toc6388"/>
      <w:bookmarkStart w:id="9" w:name="_Toc23203"/>
      <w:bookmarkStart w:id="10" w:name="_Toc9872"/>
      <w:bookmarkStart w:id="11" w:name="_Toc29829"/>
      <w:bookmarkStart w:id="12" w:name="_Toc13143"/>
      <w:bookmarkStart w:id="13" w:name="_Toc12015"/>
      <w:r>
        <w:rPr>
          <w:b/>
          <w:bCs/>
          <w:color w:val="auto"/>
          <w:spacing w:val="0"/>
          <w:sz w:val="30"/>
          <w:szCs w:val="30"/>
          <w:highlight w:val="none"/>
        </w:rPr>
        <w:t>采购代理机构名称：</w:t>
      </w:r>
      <w:r>
        <w:rPr>
          <w:rFonts w:hint="eastAsia"/>
          <w:b/>
          <w:bCs/>
          <w:color w:val="auto"/>
          <w:spacing w:val="0"/>
          <w:sz w:val="30"/>
          <w:szCs w:val="30"/>
          <w:highlight w:val="none"/>
          <w:lang w:eastAsia="zh-CN"/>
        </w:rPr>
        <w:t>乌海市思正工程管理咨询服务有限公司</w:t>
      </w:r>
      <w:r>
        <w:rPr>
          <w:rFonts w:hint="eastAsia"/>
          <w:b/>
          <w:bCs/>
          <w:color w:val="auto"/>
          <w:spacing w:val="-34"/>
          <w:sz w:val="30"/>
          <w:szCs w:val="30"/>
          <w:highlight w:val="none"/>
          <w:lang w:val="en-US" w:eastAsia="zh-CN"/>
        </w:rPr>
        <w:t xml:space="preserve"> </w:t>
      </w:r>
      <w:r>
        <w:rPr>
          <w:rFonts w:hint="eastAsia"/>
          <w:b/>
          <w:bCs/>
          <w:color w:val="auto"/>
          <w:spacing w:val="-34"/>
          <w:sz w:val="30"/>
          <w:szCs w:val="30"/>
          <w:highlight w:val="none"/>
          <w:lang w:eastAsia="zh-CN"/>
        </w:rPr>
        <w:t>（</w:t>
      </w:r>
      <w:r>
        <w:rPr>
          <w:rFonts w:hint="eastAsia"/>
          <w:b/>
          <w:bCs/>
          <w:color w:val="auto"/>
          <w:spacing w:val="-34"/>
          <w:sz w:val="30"/>
          <w:szCs w:val="30"/>
          <w:highlight w:val="none"/>
          <w:lang w:val="en-US" w:eastAsia="zh-CN"/>
        </w:rPr>
        <w:t>盖章</w:t>
      </w:r>
      <w:r>
        <w:rPr>
          <w:rFonts w:hint="eastAsia"/>
          <w:b/>
          <w:bCs/>
          <w:color w:val="auto"/>
          <w:spacing w:val="-34"/>
          <w:sz w:val="30"/>
          <w:szCs w:val="30"/>
          <w:highlight w:val="none"/>
          <w:lang w:eastAsia="zh-CN"/>
        </w:rPr>
        <w:t>）</w:t>
      </w:r>
      <w:bookmarkEnd w:id="7"/>
      <w:bookmarkEnd w:id="8"/>
      <w:bookmarkEnd w:id="9"/>
      <w:bookmarkEnd w:id="10"/>
      <w:bookmarkEnd w:id="11"/>
      <w:bookmarkEnd w:id="12"/>
      <w:bookmarkEnd w:id="13"/>
    </w:p>
    <w:p w14:paraId="521A0B8E">
      <w:pPr>
        <w:pStyle w:val="9"/>
        <w:rPr>
          <w:rFonts w:ascii="Lucida Sans Unicode"/>
          <w:color w:val="auto"/>
          <w:sz w:val="24"/>
          <w:highlight w:val="none"/>
        </w:rPr>
      </w:pPr>
    </w:p>
    <w:p w14:paraId="4BCEE935">
      <w:pPr>
        <w:pStyle w:val="9"/>
        <w:spacing w:before="13"/>
        <w:rPr>
          <w:rFonts w:hint="eastAsia" w:ascii="宋体" w:hAnsi="宋体" w:eastAsia="宋体" w:cs="宋体"/>
          <w:color w:val="auto"/>
          <w:sz w:val="28"/>
          <w:szCs w:val="28"/>
          <w:highlight w:val="none"/>
        </w:rPr>
      </w:pPr>
    </w:p>
    <w:p w14:paraId="1B3E396D">
      <w:pPr>
        <w:spacing w:before="0"/>
        <w:ind w:right="2893"/>
        <w:jc w:val="both"/>
        <w:rPr>
          <w:rFonts w:hint="eastAsia" w:ascii="宋体" w:hAnsi="宋体" w:eastAsia="宋体" w:cs="宋体"/>
          <w:color w:val="auto"/>
          <w:sz w:val="28"/>
          <w:szCs w:val="28"/>
          <w:highlight w:val="none"/>
        </w:rPr>
        <w:sectPr>
          <w:footerReference r:id="rId5" w:type="default"/>
          <w:pgSz w:w="11900" w:h="16840"/>
          <w:pgMar w:top="1599" w:right="1259" w:bottom="1599" w:left="1259" w:header="720" w:footer="91" w:gutter="0"/>
          <w:pgNumType w:fmt="decimal"/>
          <w:cols w:space="0" w:num="1"/>
          <w:rtlGutter w:val="0"/>
          <w:docGrid w:linePitch="0" w:charSpace="0"/>
        </w:sectPr>
      </w:pPr>
      <w:r>
        <w:rPr>
          <w:rFonts w:hint="eastAsia" w:cs="宋体"/>
          <w:b/>
          <w:color w:val="auto"/>
          <w:w w:val="110"/>
          <w:sz w:val="28"/>
          <w:szCs w:val="28"/>
          <w:highlight w:val="none"/>
          <w:lang w:val="en-US" w:eastAsia="zh-CN"/>
        </w:rPr>
        <w:t>二O二五</w:t>
      </w:r>
      <w:r>
        <w:rPr>
          <w:rFonts w:hint="eastAsia" w:ascii="宋体" w:hAnsi="宋体" w:eastAsia="宋体" w:cs="宋体"/>
          <w:b/>
          <w:color w:val="auto"/>
          <w:w w:val="110"/>
          <w:sz w:val="28"/>
          <w:szCs w:val="28"/>
          <w:highlight w:val="none"/>
        </w:rPr>
        <w:t>年</w:t>
      </w:r>
      <w:r>
        <w:rPr>
          <w:rFonts w:hint="eastAsia" w:cs="宋体"/>
          <w:b/>
          <w:color w:val="auto"/>
          <w:w w:val="110"/>
          <w:sz w:val="28"/>
          <w:szCs w:val="28"/>
          <w:highlight w:val="none"/>
          <w:lang w:val="en-US" w:eastAsia="zh-CN"/>
        </w:rPr>
        <w:t>七</w:t>
      </w:r>
      <w:r>
        <w:rPr>
          <w:rFonts w:hint="eastAsia" w:ascii="宋体" w:hAnsi="宋体" w:eastAsia="宋体" w:cs="宋体"/>
          <w:b/>
          <w:color w:val="auto"/>
          <w:w w:val="110"/>
          <w:sz w:val="28"/>
          <w:szCs w:val="28"/>
          <w:highlight w:val="none"/>
        </w:rPr>
        <w:t>月</w:t>
      </w:r>
    </w:p>
    <w:p w14:paraId="3C7CA613">
      <w:pPr>
        <w:pStyle w:val="2"/>
        <w:rPr>
          <w:color w:val="auto"/>
          <w:sz w:val="48"/>
          <w:szCs w:val="48"/>
          <w:highlight w:val="none"/>
        </w:rPr>
      </w:pPr>
      <w:bookmarkStart w:id="14" w:name="_Toc11769"/>
      <w:bookmarkStart w:id="15" w:name="_Toc16405"/>
      <w:bookmarkStart w:id="16" w:name="_Toc13711"/>
      <w:bookmarkStart w:id="17" w:name="_Toc14109"/>
      <w:bookmarkStart w:id="18" w:name="_Toc8682"/>
      <w:r>
        <w:rPr>
          <w:color w:val="auto"/>
          <w:sz w:val="48"/>
          <w:szCs w:val="48"/>
          <w:highlight w:val="none"/>
        </w:rPr>
        <w:t>目 录</w:t>
      </w:r>
      <w:bookmarkEnd w:id="14"/>
      <w:bookmarkEnd w:id="15"/>
      <w:bookmarkEnd w:id="16"/>
      <w:bookmarkEnd w:id="17"/>
      <w:bookmarkEnd w:id="18"/>
    </w:p>
    <w:p w14:paraId="69738D57">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TOC \o "1-3" \h \u </w:instrText>
      </w:r>
      <w:r>
        <w:rPr>
          <w:rFonts w:hint="eastAsia" w:ascii="宋体" w:hAnsi="宋体" w:eastAsia="宋体" w:cs="宋体"/>
          <w:color w:val="auto"/>
          <w:sz w:val="28"/>
          <w:szCs w:val="28"/>
          <w:highlight w:val="none"/>
        </w:rPr>
        <w:fldChar w:fldCharType="separate"/>
      </w:r>
    </w:p>
    <w:p w14:paraId="0D5FAB54">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_Toc30840 </w:instrText>
      </w:r>
      <w:r>
        <w:rPr>
          <w:rFonts w:hint="eastAsia" w:ascii="宋体" w:hAnsi="宋体" w:eastAsia="宋体" w:cs="宋体"/>
          <w:sz w:val="28"/>
          <w:szCs w:val="28"/>
          <w:highlight w:val="none"/>
        </w:rPr>
        <w:fldChar w:fldCharType="separate"/>
      </w:r>
      <w:r>
        <w:rPr>
          <w:rFonts w:hint="eastAsia"/>
          <w:sz w:val="28"/>
          <w:szCs w:val="28"/>
          <w:highlight w:val="none"/>
          <w:lang w:val="en-US" w:eastAsia="zh-CN"/>
        </w:rPr>
        <w:t>第一章 竞争性磋商公告</w:t>
      </w:r>
      <w:r>
        <w:rPr>
          <w:sz w:val="28"/>
          <w:szCs w:val="28"/>
        </w:rPr>
        <w:tab/>
      </w:r>
      <w:r>
        <w:rPr>
          <w:sz w:val="28"/>
          <w:szCs w:val="28"/>
        </w:rPr>
        <w:fldChar w:fldCharType="begin"/>
      </w:r>
      <w:r>
        <w:rPr>
          <w:sz w:val="28"/>
          <w:szCs w:val="28"/>
        </w:rPr>
        <w:instrText xml:space="preserve"> PAGEREF _Toc30840 \h </w:instrText>
      </w:r>
      <w:r>
        <w:rPr>
          <w:sz w:val="28"/>
          <w:szCs w:val="28"/>
        </w:rPr>
        <w:fldChar w:fldCharType="separate"/>
      </w:r>
      <w:r>
        <w:rPr>
          <w:sz w:val="28"/>
          <w:szCs w:val="28"/>
        </w:rPr>
        <w:t>2</w:t>
      </w:r>
      <w:r>
        <w:rPr>
          <w:sz w:val="28"/>
          <w:szCs w:val="28"/>
        </w:rPr>
        <w:fldChar w:fldCharType="end"/>
      </w:r>
      <w:r>
        <w:rPr>
          <w:rFonts w:hint="eastAsia" w:ascii="宋体" w:hAnsi="宋体" w:eastAsia="宋体" w:cs="宋体"/>
          <w:color w:val="auto"/>
          <w:sz w:val="28"/>
          <w:szCs w:val="28"/>
          <w:highlight w:val="none"/>
        </w:rPr>
        <w:fldChar w:fldCharType="end"/>
      </w:r>
    </w:p>
    <w:p w14:paraId="4D55FE31">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_Toc25158 </w:instrText>
      </w:r>
      <w:r>
        <w:rPr>
          <w:rFonts w:hint="eastAsia" w:ascii="宋体" w:hAnsi="宋体" w:eastAsia="宋体" w:cs="宋体"/>
          <w:sz w:val="28"/>
          <w:szCs w:val="28"/>
          <w:highlight w:val="none"/>
        </w:rPr>
        <w:fldChar w:fldCharType="separate"/>
      </w:r>
      <w:r>
        <w:rPr>
          <w:sz w:val="28"/>
          <w:szCs w:val="28"/>
          <w:highlight w:val="none"/>
        </w:rPr>
        <w:t>第二章 供应商须知</w:t>
      </w:r>
      <w:r>
        <w:rPr>
          <w:sz w:val="28"/>
          <w:szCs w:val="28"/>
        </w:rPr>
        <w:tab/>
      </w:r>
      <w:r>
        <w:rPr>
          <w:sz w:val="28"/>
          <w:szCs w:val="28"/>
        </w:rPr>
        <w:fldChar w:fldCharType="begin"/>
      </w:r>
      <w:r>
        <w:rPr>
          <w:sz w:val="28"/>
          <w:szCs w:val="28"/>
        </w:rPr>
        <w:instrText xml:space="preserve"> PAGEREF _Toc25158 \h </w:instrText>
      </w:r>
      <w:r>
        <w:rPr>
          <w:sz w:val="28"/>
          <w:szCs w:val="28"/>
        </w:rPr>
        <w:fldChar w:fldCharType="separate"/>
      </w:r>
      <w:r>
        <w:rPr>
          <w:sz w:val="28"/>
          <w:szCs w:val="28"/>
        </w:rPr>
        <w:t>4</w:t>
      </w:r>
      <w:r>
        <w:rPr>
          <w:sz w:val="28"/>
          <w:szCs w:val="28"/>
        </w:rPr>
        <w:fldChar w:fldCharType="end"/>
      </w:r>
      <w:r>
        <w:rPr>
          <w:rFonts w:hint="eastAsia" w:ascii="宋体" w:hAnsi="宋体" w:eastAsia="宋体" w:cs="宋体"/>
          <w:color w:val="auto"/>
          <w:sz w:val="28"/>
          <w:szCs w:val="28"/>
          <w:highlight w:val="none"/>
        </w:rPr>
        <w:fldChar w:fldCharType="end"/>
      </w:r>
    </w:p>
    <w:p w14:paraId="14005497">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_Toc21232 </w:instrText>
      </w:r>
      <w:r>
        <w:rPr>
          <w:rFonts w:hint="eastAsia" w:ascii="宋体" w:hAnsi="宋体" w:eastAsia="宋体" w:cs="宋体"/>
          <w:sz w:val="28"/>
          <w:szCs w:val="28"/>
          <w:highlight w:val="none"/>
        </w:rPr>
        <w:fldChar w:fldCharType="separate"/>
      </w:r>
      <w:r>
        <w:rPr>
          <w:sz w:val="28"/>
          <w:szCs w:val="28"/>
          <w:highlight w:val="none"/>
        </w:rPr>
        <w:t xml:space="preserve">第三章 </w:t>
      </w:r>
      <w:r>
        <w:rPr>
          <w:rFonts w:hint="eastAsia"/>
          <w:sz w:val="28"/>
          <w:szCs w:val="28"/>
          <w:highlight w:val="none"/>
        </w:rPr>
        <w:t>采购内容</w:t>
      </w:r>
      <w:r>
        <w:rPr>
          <w:sz w:val="28"/>
          <w:szCs w:val="28"/>
          <w:highlight w:val="none"/>
        </w:rPr>
        <w:t>与技术要求</w:t>
      </w:r>
      <w:r>
        <w:rPr>
          <w:sz w:val="28"/>
          <w:szCs w:val="28"/>
        </w:rPr>
        <w:tab/>
      </w:r>
      <w:r>
        <w:rPr>
          <w:sz w:val="28"/>
          <w:szCs w:val="28"/>
        </w:rPr>
        <w:fldChar w:fldCharType="begin"/>
      </w:r>
      <w:r>
        <w:rPr>
          <w:sz w:val="28"/>
          <w:szCs w:val="28"/>
        </w:rPr>
        <w:instrText xml:space="preserve"> PAGEREF _Toc21232 \h </w:instrText>
      </w:r>
      <w:r>
        <w:rPr>
          <w:sz w:val="28"/>
          <w:szCs w:val="28"/>
        </w:rPr>
        <w:fldChar w:fldCharType="separate"/>
      </w:r>
      <w:r>
        <w:rPr>
          <w:sz w:val="28"/>
          <w:szCs w:val="28"/>
        </w:rPr>
        <w:t>12</w:t>
      </w:r>
      <w:r>
        <w:rPr>
          <w:sz w:val="28"/>
          <w:szCs w:val="28"/>
        </w:rPr>
        <w:fldChar w:fldCharType="end"/>
      </w:r>
      <w:r>
        <w:rPr>
          <w:rFonts w:hint="eastAsia" w:ascii="宋体" w:hAnsi="宋体" w:eastAsia="宋体" w:cs="宋体"/>
          <w:color w:val="auto"/>
          <w:sz w:val="28"/>
          <w:szCs w:val="28"/>
          <w:highlight w:val="none"/>
        </w:rPr>
        <w:fldChar w:fldCharType="end"/>
      </w:r>
    </w:p>
    <w:p w14:paraId="71AAD290">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_Toc8437 </w:instrText>
      </w:r>
      <w:r>
        <w:rPr>
          <w:rFonts w:hint="eastAsia" w:ascii="宋体" w:hAnsi="宋体" w:eastAsia="宋体" w:cs="宋体"/>
          <w:sz w:val="28"/>
          <w:szCs w:val="28"/>
          <w:highlight w:val="none"/>
        </w:rPr>
        <w:fldChar w:fldCharType="separate"/>
      </w:r>
      <w:r>
        <w:rPr>
          <w:sz w:val="28"/>
          <w:szCs w:val="28"/>
          <w:highlight w:val="none"/>
        </w:rPr>
        <w:t>第四章 供应商应当提交的资格、资信证明文件</w:t>
      </w:r>
      <w:r>
        <w:rPr>
          <w:sz w:val="28"/>
          <w:szCs w:val="28"/>
        </w:rPr>
        <w:tab/>
      </w:r>
      <w:r>
        <w:rPr>
          <w:sz w:val="28"/>
          <w:szCs w:val="28"/>
        </w:rPr>
        <w:fldChar w:fldCharType="begin"/>
      </w:r>
      <w:r>
        <w:rPr>
          <w:sz w:val="28"/>
          <w:szCs w:val="28"/>
        </w:rPr>
        <w:instrText xml:space="preserve"> PAGEREF _Toc8437 \h </w:instrText>
      </w:r>
      <w:r>
        <w:rPr>
          <w:sz w:val="28"/>
          <w:szCs w:val="28"/>
        </w:rPr>
        <w:fldChar w:fldCharType="separate"/>
      </w:r>
      <w:r>
        <w:rPr>
          <w:sz w:val="28"/>
          <w:szCs w:val="28"/>
        </w:rPr>
        <w:t>13</w:t>
      </w:r>
      <w:r>
        <w:rPr>
          <w:sz w:val="28"/>
          <w:szCs w:val="28"/>
        </w:rPr>
        <w:fldChar w:fldCharType="end"/>
      </w:r>
      <w:r>
        <w:rPr>
          <w:rFonts w:hint="eastAsia" w:ascii="宋体" w:hAnsi="宋体" w:eastAsia="宋体" w:cs="宋体"/>
          <w:color w:val="auto"/>
          <w:sz w:val="28"/>
          <w:szCs w:val="28"/>
          <w:highlight w:val="none"/>
        </w:rPr>
        <w:fldChar w:fldCharType="end"/>
      </w:r>
    </w:p>
    <w:p w14:paraId="2329FB90">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_Toc30766 </w:instrText>
      </w:r>
      <w:r>
        <w:rPr>
          <w:rFonts w:hint="eastAsia" w:ascii="宋体" w:hAnsi="宋体" w:eastAsia="宋体" w:cs="宋体"/>
          <w:sz w:val="28"/>
          <w:szCs w:val="28"/>
          <w:highlight w:val="none"/>
        </w:rPr>
        <w:fldChar w:fldCharType="separate"/>
      </w:r>
      <w:r>
        <w:rPr>
          <w:sz w:val="28"/>
          <w:szCs w:val="28"/>
          <w:highlight w:val="none"/>
        </w:rPr>
        <w:t>第五章 评审</w:t>
      </w:r>
      <w:r>
        <w:rPr>
          <w:sz w:val="28"/>
          <w:szCs w:val="28"/>
        </w:rPr>
        <w:tab/>
      </w:r>
      <w:r>
        <w:rPr>
          <w:sz w:val="28"/>
          <w:szCs w:val="28"/>
        </w:rPr>
        <w:fldChar w:fldCharType="begin"/>
      </w:r>
      <w:r>
        <w:rPr>
          <w:sz w:val="28"/>
          <w:szCs w:val="28"/>
        </w:rPr>
        <w:instrText xml:space="preserve"> PAGEREF _Toc30766 \h </w:instrText>
      </w:r>
      <w:r>
        <w:rPr>
          <w:sz w:val="28"/>
          <w:szCs w:val="28"/>
        </w:rPr>
        <w:fldChar w:fldCharType="separate"/>
      </w:r>
      <w:r>
        <w:rPr>
          <w:sz w:val="28"/>
          <w:szCs w:val="28"/>
        </w:rPr>
        <w:t>14</w:t>
      </w:r>
      <w:r>
        <w:rPr>
          <w:sz w:val="28"/>
          <w:szCs w:val="28"/>
        </w:rPr>
        <w:fldChar w:fldCharType="end"/>
      </w:r>
      <w:r>
        <w:rPr>
          <w:rFonts w:hint="eastAsia" w:ascii="宋体" w:hAnsi="宋体" w:eastAsia="宋体" w:cs="宋体"/>
          <w:color w:val="auto"/>
          <w:sz w:val="28"/>
          <w:szCs w:val="28"/>
          <w:highlight w:val="none"/>
        </w:rPr>
        <w:fldChar w:fldCharType="end"/>
      </w:r>
    </w:p>
    <w:p w14:paraId="65F22D26">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_Toc7827 </w:instrText>
      </w:r>
      <w:r>
        <w:rPr>
          <w:rFonts w:hint="eastAsia" w:ascii="宋体" w:hAnsi="宋体" w:eastAsia="宋体" w:cs="宋体"/>
          <w:sz w:val="28"/>
          <w:szCs w:val="28"/>
          <w:highlight w:val="none"/>
        </w:rPr>
        <w:fldChar w:fldCharType="separate"/>
      </w:r>
      <w:r>
        <w:rPr>
          <w:sz w:val="28"/>
          <w:szCs w:val="28"/>
          <w:highlight w:val="none"/>
        </w:rPr>
        <w:t>第六章 合同与验收</w:t>
      </w:r>
      <w:r>
        <w:rPr>
          <w:sz w:val="28"/>
          <w:szCs w:val="28"/>
        </w:rPr>
        <w:tab/>
      </w:r>
      <w:r>
        <w:rPr>
          <w:sz w:val="28"/>
          <w:szCs w:val="28"/>
        </w:rPr>
        <w:fldChar w:fldCharType="begin"/>
      </w:r>
      <w:r>
        <w:rPr>
          <w:sz w:val="28"/>
          <w:szCs w:val="28"/>
        </w:rPr>
        <w:instrText xml:space="preserve"> PAGEREF _Toc7827 \h </w:instrText>
      </w:r>
      <w:r>
        <w:rPr>
          <w:sz w:val="28"/>
          <w:szCs w:val="28"/>
        </w:rPr>
        <w:fldChar w:fldCharType="separate"/>
      </w:r>
      <w:r>
        <w:rPr>
          <w:sz w:val="28"/>
          <w:szCs w:val="28"/>
        </w:rPr>
        <w:t>22</w:t>
      </w:r>
      <w:r>
        <w:rPr>
          <w:sz w:val="28"/>
          <w:szCs w:val="28"/>
        </w:rPr>
        <w:fldChar w:fldCharType="end"/>
      </w:r>
      <w:r>
        <w:rPr>
          <w:rFonts w:hint="eastAsia" w:ascii="宋体" w:hAnsi="宋体" w:eastAsia="宋体" w:cs="宋体"/>
          <w:color w:val="auto"/>
          <w:sz w:val="28"/>
          <w:szCs w:val="28"/>
          <w:highlight w:val="none"/>
        </w:rPr>
        <w:fldChar w:fldCharType="end"/>
      </w:r>
    </w:p>
    <w:p w14:paraId="7A259FA2">
      <w:pPr>
        <w:pStyle w:val="15"/>
        <w:keepNext w:val="0"/>
        <w:keepLines w:val="0"/>
        <w:pageBreakBefore w:val="0"/>
        <w:tabs>
          <w:tab w:val="right" w:leader="dot" w:pos="9382"/>
        </w:tabs>
        <w:kinsoku/>
        <w:wordWrap/>
        <w:overflowPunct/>
        <w:topLinePunct w:val="0"/>
        <w:bidi w:val="0"/>
        <w:adjustRightInd/>
        <w:snapToGrid/>
        <w:spacing w:line="480" w:lineRule="auto"/>
        <w:textAlignment w:val="auto"/>
        <w:rPr>
          <w:sz w:val="28"/>
          <w:szCs w:val="28"/>
        </w:rPr>
      </w:pPr>
      <w:r>
        <w:rPr>
          <w:rFonts w:hint="eastAsia" w:ascii="宋体" w:hAnsi="宋体" w:eastAsia="宋体" w:cs="宋体"/>
          <w:color w:val="auto"/>
          <w:sz w:val="28"/>
          <w:szCs w:val="28"/>
          <w:highlight w:val="none"/>
        </w:rPr>
        <w:fldChar w:fldCharType="begin"/>
      </w:r>
      <w:r>
        <w:rPr>
          <w:rFonts w:hint="eastAsia" w:ascii="宋体" w:hAnsi="宋体" w:eastAsia="宋体" w:cs="宋体"/>
          <w:sz w:val="28"/>
          <w:szCs w:val="28"/>
          <w:highlight w:val="none"/>
        </w:rPr>
        <w:instrText xml:space="preserve"> HYPERLINK \l _Toc474 </w:instrText>
      </w:r>
      <w:r>
        <w:rPr>
          <w:rFonts w:hint="eastAsia" w:ascii="宋体" w:hAnsi="宋体" w:eastAsia="宋体" w:cs="宋体"/>
          <w:sz w:val="28"/>
          <w:szCs w:val="28"/>
          <w:highlight w:val="none"/>
        </w:rPr>
        <w:fldChar w:fldCharType="separate"/>
      </w:r>
      <w:r>
        <w:rPr>
          <w:sz w:val="28"/>
          <w:szCs w:val="28"/>
          <w:highlight w:val="none"/>
        </w:rPr>
        <w:t>第七章 响应文件格式与要求</w:t>
      </w:r>
      <w:r>
        <w:rPr>
          <w:sz w:val="28"/>
          <w:szCs w:val="28"/>
        </w:rPr>
        <w:tab/>
      </w:r>
      <w:r>
        <w:rPr>
          <w:sz w:val="28"/>
          <w:szCs w:val="28"/>
        </w:rPr>
        <w:fldChar w:fldCharType="begin"/>
      </w:r>
      <w:r>
        <w:rPr>
          <w:sz w:val="28"/>
          <w:szCs w:val="28"/>
        </w:rPr>
        <w:instrText xml:space="preserve"> PAGEREF _Toc474 \h </w:instrText>
      </w:r>
      <w:r>
        <w:rPr>
          <w:sz w:val="28"/>
          <w:szCs w:val="28"/>
        </w:rPr>
        <w:fldChar w:fldCharType="separate"/>
      </w:r>
      <w:r>
        <w:rPr>
          <w:sz w:val="28"/>
          <w:szCs w:val="28"/>
        </w:rPr>
        <w:t>29</w:t>
      </w:r>
      <w:r>
        <w:rPr>
          <w:sz w:val="28"/>
          <w:szCs w:val="28"/>
        </w:rPr>
        <w:fldChar w:fldCharType="end"/>
      </w:r>
      <w:r>
        <w:rPr>
          <w:rFonts w:hint="eastAsia" w:ascii="宋体" w:hAnsi="宋体" w:eastAsia="宋体" w:cs="宋体"/>
          <w:color w:val="auto"/>
          <w:sz w:val="28"/>
          <w:szCs w:val="28"/>
          <w:highlight w:val="none"/>
        </w:rPr>
        <w:fldChar w:fldCharType="end"/>
      </w:r>
    </w:p>
    <w:p w14:paraId="180F4E68">
      <w:pPr>
        <w:pStyle w:val="25"/>
        <w:keepNext w:val="0"/>
        <w:keepLines w:val="0"/>
        <w:pageBreakBefore w:val="0"/>
        <w:kinsoku/>
        <w:wordWrap/>
        <w:overflowPunct/>
        <w:topLinePunct w:val="0"/>
        <w:bidi w:val="0"/>
        <w:adjustRightInd/>
        <w:snapToGrid/>
        <w:spacing w:line="480" w:lineRule="auto"/>
        <w:textAlignment w:val="auto"/>
        <w:rPr>
          <w:color w:val="auto"/>
          <w:sz w:val="28"/>
          <w:szCs w:val="28"/>
          <w:highlight w:val="none"/>
        </w:rPr>
        <w:sectPr>
          <w:footerReference r:id="rId6" w:type="default"/>
          <w:pgSz w:w="11900" w:h="16840"/>
          <w:pgMar w:top="1599" w:right="1259" w:bottom="1599" w:left="1259" w:header="720" w:footer="91" w:gutter="0"/>
          <w:pgNumType w:fmt="decimal" w:start="1"/>
          <w:cols w:space="0" w:num="1"/>
          <w:rtlGutter w:val="0"/>
          <w:docGrid w:linePitch="0" w:charSpace="0"/>
        </w:sectPr>
      </w:pPr>
      <w:r>
        <w:rPr>
          <w:rFonts w:hint="eastAsia" w:ascii="宋体" w:hAnsi="宋体" w:eastAsia="宋体" w:cs="宋体"/>
          <w:color w:val="auto"/>
          <w:sz w:val="28"/>
          <w:szCs w:val="28"/>
          <w:highlight w:val="none"/>
        </w:rPr>
        <w:fldChar w:fldCharType="end"/>
      </w:r>
    </w:p>
    <w:p w14:paraId="7AB55CC5">
      <w:pPr>
        <w:pStyle w:val="2"/>
        <w:bidi w:val="0"/>
        <w:rPr>
          <w:rFonts w:hint="eastAsia"/>
          <w:highlight w:val="none"/>
          <w:lang w:val="en-US" w:eastAsia="zh-CN"/>
        </w:rPr>
      </w:pPr>
      <w:bookmarkStart w:id="19" w:name="_Toc30840"/>
      <w:bookmarkStart w:id="20" w:name="_Toc28359011"/>
      <w:bookmarkStart w:id="21" w:name="_Toc28359088"/>
      <w:r>
        <w:rPr>
          <w:rFonts w:hint="eastAsia"/>
          <w:highlight w:val="none"/>
          <w:lang w:val="en-US" w:eastAsia="zh-CN"/>
        </w:rPr>
        <w:t>第一章 竞争性磋商公告</w:t>
      </w:r>
      <w:bookmarkEnd w:id="19"/>
    </w:p>
    <w:p w14:paraId="6932F24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cs="宋体"/>
          <w:b/>
          <w:bCs/>
          <w:color w:val="auto"/>
          <w:sz w:val="31"/>
          <w:szCs w:val="31"/>
          <w:highlight w:val="none"/>
          <w:lang w:val="en-US" w:eastAsia="zh-CN" w:bidi="ar-SA"/>
        </w:rPr>
      </w:pPr>
      <w:r>
        <w:rPr>
          <w:rFonts w:hint="eastAsia" w:cs="宋体"/>
          <w:b/>
          <w:bCs/>
          <w:color w:val="auto"/>
          <w:sz w:val="31"/>
          <w:szCs w:val="31"/>
          <w:highlight w:val="none"/>
          <w:lang w:val="en-US" w:eastAsia="zh-CN" w:bidi="ar-SA"/>
        </w:rPr>
        <w:t>2022年-2024年巡游出租车运营成本、浮桥通行成本监审（调查）</w:t>
      </w:r>
    </w:p>
    <w:p w14:paraId="11CBF444">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宋体" w:hAnsi="宋体" w:eastAsia="宋体" w:cs="宋体"/>
          <w:b/>
          <w:bCs/>
          <w:color w:val="auto"/>
          <w:sz w:val="31"/>
          <w:szCs w:val="31"/>
          <w:highlight w:val="none"/>
          <w:lang w:val="en-US" w:eastAsia="zh-CN" w:bidi="ar-SA"/>
        </w:rPr>
      </w:pPr>
      <w:r>
        <w:rPr>
          <w:rFonts w:hint="eastAsia" w:cs="宋体"/>
          <w:b/>
          <w:bCs/>
          <w:color w:val="auto"/>
          <w:sz w:val="31"/>
          <w:szCs w:val="31"/>
          <w:highlight w:val="none"/>
          <w:lang w:val="en-US" w:eastAsia="zh-CN" w:bidi="ar-SA"/>
        </w:rPr>
        <w:t>项目竞争性磋商公告</w:t>
      </w:r>
    </w:p>
    <w:bookmarkEnd w:id="20"/>
    <w:bookmarkEnd w:id="21"/>
    <w:p w14:paraId="738AC608">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snapToGrid/>
        <w:spacing w:line="400" w:lineRule="exact"/>
        <w:textAlignment w:val="auto"/>
        <w:rPr>
          <w:rFonts w:hint="eastAsia" w:ascii="宋体" w:hAnsi="宋体" w:cs="宋体"/>
          <w:bCs/>
          <w:sz w:val="24"/>
          <w:szCs w:val="24"/>
          <w:highlight w:val="none"/>
        </w:rPr>
      </w:pPr>
      <w:r>
        <w:rPr>
          <w:rFonts w:hint="eastAsia" w:ascii="宋体" w:hAnsi="宋体" w:cs="宋体"/>
          <w:bCs/>
          <w:sz w:val="24"/>
          <w:szCs w:val="24"/>
          <w:highlight w:val="none"/>
        </w:rPr>
        <w:t>项目概况：</w:t>
      </w:r>
    </w:p>
    <w:p w14:paraId="75BAB50B">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val="0"/>
        <w:overflowPunct/>
        <w:topLinePunct w:val="0"/>
        <w:autoSpaceDE/>
        <w:autoSpaceDN/>
        <w:bidi w:val="0"/>
        <w:adjustRightInd/>
        <w:snapToGrid/>
        <w:spacing w:line="400" w:lineRule="exact"/>
        <w:ind w:firstLine="480" w:firstLineChars="200"/>
        <w:textAlignment w:val="auto"/>
        <w:rPr>
          <w:rFonts w:hint="eastAsia" w:ascii="宋体" w:hAnsi="宋体" w:cs="宋体"/>
          <w:bCs/>
          <w:sz w:val="24"/>
          <w:szCs w:val="24"/>
          <w:highlight w:val="none"/>
          <w:u w:val="single"/>
        </w:rPr>
      </w:pPr>
      <w:bookmarkStart w:id="22" w:name="_Toc28359089"/>
      <w:bookmarkStart w:id="23" w:name="_Toc28359012"/>
      <w:r>
        <w:rPr>
          <w:rFonts w:hint="eastAsia" w:cs="宋体"/>
          <w:bCs/>
          <w:sz w:val="24"/>
          <w:szCs w:val="24"/>
          <w:highlight w:val="none"/>
          <w:u w:val="single"/>
          <w:lang w:eastAsia="zh-CN"/>
        </w:rPr>
        <w:t>2022年-2024年巡游出租车运营成本、浮桥通行成本监审（调查）项目</w:t>
      </w:r>
      <w:r>
        <w:rPr>
          <w:rFonts w:hint="eastAsia" w:ascii="宋体" w:hAnsi="宋体" w:cs="宋体"/>
          <w:bCs/>
          <w:sz w:val="24"/>
          <w:szCs w:val="24"/>
          <w:highlight w:val="none"/>
        </w:rPr>
        <w:t>的潜在竞标人</w:t>
      </w:r>
      <w:r>
        <w:rPr>
          <w:rFonts w:hint="eastAsia" w:ascii="宋体" w:hAnsi="宋体" w:cs="宋体"/>
          <w:bCs/>
          <w:sz w:val="24"/>
          <w:szCs w:val="24"/>
          <w:highlight w:val="none"/>
          <w:u w:val="none"/>
        </w:rPr>
        <w:t>获取文件时</w:t>
      </w:r>
      <w:r>
        <w:rPr>
          <w:rFonts w:hint="eastAsia" w:ascii="宋体" w:hAnsi="宋体" w:cs="宋体"/>
          <w:bCs/>
          <w:sz w:val="24"/>
          <w:szCs w:val="24"/>
          <w:highlight w:val="none"/>
          <w:u w:val="single"/>
        </w:rPr>
        <w:t>需将下列资料的加盖公章的扫描件电子版（PDF格式）发送到邮箱whsszgcglzxfw@126.com，并打电话0473-2798888告知，邮件需注明投标人名称，联系人，联系方式，邮箱。如资料不全，将不予受理。</w:t>
      </w:r>
    </w:p>
    <w:bookmarkEnd w:id="22"/>
    <w:bookmarkEnd w:id="23"/>
    <w:p w14:paraId="28A22967">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cs="宋体"/>
          <w:b/>
          <w:bCs/>
          <w:sz w:val="24"/>
          <w:szCs w:val="24"/>
          <w:highlight w:val="none"/>
        </w:rPr>
      </w:pPr>
      <w:r>
        <w:rPr>
          <w:rFonts w:hint="eastAsia" w:ascii="宋体" w:hAnsi="宋体" w:cs="宋体"/>
          <w:b/>
          <w:bCs/>
          <w:sz w:val="24"/>
          <w:szCs w:val="24"/>
          <w:highlight w:val="none"/>
        </w:rPr>
        <w:t>一、项目基本情况：</w:t>
      </w:r>
    </w:p>
    <w:p w14:paraId="0A569DF4">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rPr>
        <w:t>项目编号：</w:t>
      </w:r>
      <w:r>
        <w:rPr>
          <w:rFonts w:hint="eastAsia" w:cs="宋体"/>
          <w:sz w:val="24"/>
          <w:szCs w:val="24"/>
          <w:highlight w:val="none"/>
          <w:lang w:eastAsia="zh-CN"/>
        </w:rPr>
        <w:t>WHSZ-2025-45</w:t>
      </w:r>
    </w:p>
    <w:p w14:paraId="79EEE89D">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rPr>
        <w:t>项目名称：</w:t>
      </w:r>
      <w:r>
        <w:rPr>
          <w:rFonts w:hint="eastAsia" w:cs="宋体"/>
          <w:sz w:val="24"/>
          <w:szCs w:val="24"/>
          <w:highlight w:val="none"/>
          <w:lang w:eastAsia="zh-CN"/>
        </w:rPr>
        <w:t>2022年-2024年巡游出租车运营成本、浮桥通行成本监审（调查）项目</w:t>
      </w:r>
    </w:p>
    <w:p w14:paraId="3ADFC47B">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eastAsia" w:ascii="宋体" w:hAnsi="宋体" w:cs="宋体"/>
          <w:sz w:val="24"/>
          <w:szCs w:val="24"/>
          <w:highlight w:val="none"/>
        </w:rPr>
      </w:pPr>
      <w:r>
        <w:rPr>
          <w:rFonts w:hint="eastAsia" w:ascii="宋体" w:hAnsi="宋体" w:cs="宋体"/>
          <w:sz w:val="24"/>
          <w:szCs w:val="24"/>
          <w:highlight w:val="none"/>
        </w:rPr>
        <w:t>采购方式：竞争性磋商</w:t>
      </w:r>
    </w:p>
    <w:p w14:paraId="680BF1B4">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sz w:val="24"/>
          <w:szCs w:val="24"/>
          <w:highlight w:val="none"/>
        </w:rPr>
      </w:pPr>
      <w:bookmarkStart w:id="24" w:name="_Toc28359090"/>
      <w:r>
        <w:rPr>
          <w:rFonts w:hint="eastAsia" w:ascii="宋体" w:hAnsi="宋体" w:eastAsia="宋体" w:cs="宋体"/>
          <w:sz w:val="24"/>
          <w:szCs w:val="24"/>
          <w:highlight w:val="none"/>
        </w:rPr>
        <w:t>最高限价：</w:t>
      </w:r>
      <w:r>
        <w:rPr>
          <w:rFonts w:hint="eastAsia" w:cs="宋体"/>
          <w:sz w:val="24"/>
          <w:szCs w:val="24"/>
          <w:highlight w:val="none"/>
          <w:lang w:val="en-US" w:eastAsia="zh-CN"/>
        </w:rPr>
        <w:t>12万元</w:t>
      </w:r>
    </w:p>
    <w:p w14:paraId="38B8CC7A">
      <w:pPr>
        <w:keepNext w:val="0"/>
        <w:keepLines w:val="0"/>
        <w:pageBreakBefore w:val="0"/>
        <w:kinsoku/>
        <w:wordWrap/>
        <w:overflowPunct/>
        <w:topLinePunct w:val="0"/>
        <w:autoSpaceDE/>
        <w:autoSpaceDN/>
        <w:bidi w:val="0"/>
        <w:adjustRightInd/>
        <w:snapToGrid/>
        <w:spacing w:line="38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资金来源：财政资金</w:t>
      </w:r>
    </w:p>
    <w:p w14:paraId="001E17BB">
      <w:pPr>
        <w:keepNext w:val="0"/>
        <w:keepLines w:val="0"/>
        <w:pageBreakBefore w:val="0"/>
        <w:kinsoku/>
        <w:wordWrap/>
        <w:overflowPunct/>
        <w:topLinePunct w:val="0"/>
        <w:autoSpaceDE/>
        <w:autoSpaceDN/>
        <w:bidi w:val="0"/>
        <w:adjustRightInd/>
        <w:snapToGrid/>
        <w:spacing w:line="38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w:t>
      </w:r>
      <w:r>
        <w:rPr>
          <w:rFonts w:hint="eastAsia" w:ascii="宋体" w:hAnsi="宋体" w:eastAsia="宋体" w:cs="宋体"/>
          <w:sz w:val="24"/>
          <w:szCs w:val="24"/>
          <w:highlight w:val="none"/>
        </w:rPr>
        <w:t>内容：</w:t>
      </w:r>
      <w:r>
        <w:rPr>
          <w:rFonts w:hint="eastAsia" w:cs="宋体"/>
          <w:sz w:val="24"/>
          <w:szCs w:val="24"/>
          <w:highlight w:val="none"/>
          <w:lang w:val="en-US" w:eastAsia="zh-CN"/>
        </w:rPr>
        <w:t>对2022年-2024年巡游出租车运营成本、浮桥通行成本进行监审（调查），具体内容详见采购人要求。</w:t>
      </w:r>
    </w:p>
    <w:p w14:paraId="2E6CEC63">
      <w:pPr>
        <w:keepNext w:val="0"/>
        <w:keepLines w:val="0"/>
        <w:pageBreakBefore w:val="0"/>
        <w:kinsoku/>
        <w:wordWrap/>
        <w:overflowPunct/>
        <w:topLinePunct w:val="0"/>
        <w:autoSpaceDE/>
        <w:autoSpaceDN/>
        <w:bidi w:val="0"/>
        <w:adjustRightInd/>
        <w:snapToGrid/>
        <w:spacing w:line="38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服务期限：</w:t>
      </w:r>
      <w:r>
        <w:rPr>
          <w:rFonts w:hint="eastAsia" w:cs="宋体"/>
          <w:sz w:val="24"/>
          <w:szCs w:val="24"/>
          <w:highlight w:val="none"/>
          <w:lang w:val="en-US" w:eastAsia="zh-CN"/>
        </w:rPr>
        <w:t>巡游出租车运营成本监审（调查）2025年9月30日完成，浮桥通行成本监审（调查）2025年9月30日完成。</w:t>
      </w:r>
    </w:p>
    <w:p w14:paraId="219D2C12">
      <w:pPr>
        <w:keepNext w:val="0"/>
        <w:keepLines w:val="0"/>
        <w:pageBreakBefore w:val="0"/>
        <w:kinsoku/>
        <w:wordWrap/>
        <w:overflowPunct/>
        <w:topLinePunct w:val="0"/>
        <w:autoSpaceDE/>
        <w:autoSpaceDN/>
        <w:bidi w:val="0"/>
        <w:adjustRightInd/>
        <w:snapToGrid/>
        <w:spacing w:line="380" w:lineRule="exact"/>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服务地点：</w:t>
      </w:r>
      <w:r>
        <w:rPr>
          <w:rFonts w:hint="eastAsia" w:cs="宋体"/>
          <w:sz w:val="24"/>
          <w:szCs w:val="24"/>
          <w:highlight w:val="none"/>
          <w:lang w:val="en-US" w:eastAsia="zh-CN"/>
        </w:rPr>
        <w:t>乌海市</w:t>
      </w:r>
    </w:p>
    <w:p w14:paraId="2A98660A">
      <w:pPr>
        <w:keepNext w:val="0"/>
        <w:keepLines w:val="0"/>
        <w:pageBreakBefore w:val="0"/>
        <w:numPr>
          <w:ilvl w:val="0"/>
          <w:numId w:val="1"/>
        </w:numPr>
        <w:kinsoku/>
        <w:wordWrap/>
        <w:overflowPunct/>
        <w:topLinePunct w:val="0"/>
        <w:autoSpaceDE/>
        <w:autoSpaceDN/>
        <w:bidi w:val="0"/>
        <w:adjustRightInd/>
        <w:snapToGrid/>
        <w:spacing w:beforeAutospacing="0" w:afterAutospacing="0" w:line="380" w:lineRule="exact"/>
        <w:textAlignment w:val="auto"/>
        <w:rPr>
          <w:rFonts w:hint="eastAsia" w:ascii="宋体" w:hAnsi="宋体" w:cs="宋体"/>
          <w:b/>
          <w:bCs/>
          <w:sz w:val="24"/>
          <w:szCs w:val="24"/>
          <w:highlight w:val="none"/>
        </w:rPr>
      </w:pPr>
      <w:r>
        <w:rPr>
          <w:rFonts w:hint="eastAsia" w:ascii="宋体" w:hAnsi="宋体" w:cs="宋体"/>
          <w:b/>
          <w:bCs/>
          <w:sz w:val="24"/>
          <w:szCs w:val="24"/>
          <w:highlight w:val="none"/>
          <w:lang w:val="en-US" w:eastAsia="zh-CN"/>
        </w:rPr>
        <w:t>供应商</w:t>
      </w:r>
      <w:r>
        <w:rPr>
          <w:rFonts w:hint="eastAsia" w:ascii="宋体" w:hAnsi="宋体" w:cs="宋体"/>
          <w:b/>
          <w:bCs/>
          <w:sz w:val="24"/>
          <w:szCs w:val="24"/>
          <w:highlight w:val="none"/>
        </w:rPr>
        <w:t>的资格要求：</w:t>
      </w:r>
      <w:bookmarkEnd w:id="24"/>
    </w:p>
    <w:p w14:paraId="5E6560EA">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bookmarkStart w:id="25" w:name="_Toc28359014"/>
      <w:bookmarkStart w:id="26" w:name="_Toc28359091"/>
      <w:r>
        <w:rPr>
          <w:rFonts w:hint="eastAsia" w:ascii="宋体" w:hAnsi="宋体"/>
          <w:sz w:val="24"/>
          <w:highlight w:val="none"/>
        </w:rPr>
        <w:t>满足《中华人民共和国政府采购法》第二十二条规定：</w:t>
      </w:r>
    </w:p>
    <w:p w14:paraId="5E7D6803">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（1）具有独立承担民事责任的能力；</w:t>
      </w:r>
    </w:p>
    <w:p w14:paraId="27239AFC">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eastAsia="宋体"/>
          <w:sz w:val="24"/>
          <w:highlight w:val="none"/>
          <w:lang w:eastAsia="zh-CN"/>
        </w:rPr>
      </w:pPr>
      <w:r>
        <w:rPr>
          <w:rFonts w:hint="eastAsia" w:ascii="宋体" w:hAnsi="宋体"/>
          <w:sz w:val="24"/>
          <w:highlight w:val="none"/>
        </w:rPr>
        <w:t>（2）具有须备会计师事务所执业证书</w:t>
      </w:r>
      <w:r>
        <w:rPr>
          <w:rFonts w:hint="eastAsia"/>
          <w:sz w:val="24"/>
          <w:highlight w:val="none"/>
          <w:lang w:eastAsia="zh-CN"/>
        </w:rPr>
        <w:t>；</w:t>
      </w:r>
    </w:p>
    <w:p w14:paraId="28B1AF68">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eastAsia="宋体"/>
          <w:sz w:val="24"/>
          <w:highlight w:val="none"/>
          <w:lang w:eastAsia="zh-CN"/>
        </w:rPr>
      </w:pPr>
      <w:r>
        <w:rPr>
          <w:rFonts w:hint="eastAsia" w:ascii="宋体" w:hAnsi="宋体"/>
          <w:sz w:val="24"/>
          <w:highlight w:val="none"/>
        </w:rPr>
        <w:t>（3）拟派项目负责人须具有注册会计师资格</w:t>
      </w:r>
      <w:r>
        <w:rPr>
          <w:rFonts w:hint="eastAsia"/>
          <w:sz w:val="24"/>
          <w:highlight w:val="none"/>
          <w:lang w:eastAsia="zh-CN"/>
        </w:rPr>
        <w:t>；</w:t>
      </w:r>
    </w:p>
    <w:p w14:paraId="7CBF092E">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（4）具有良好的商业信誉和健全的财务会计制度；</w:t>
      </w:r>
    </w:p>
    <w:p w14:paraId="7B51CEA2">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（5）具有履行合同所必需的设备和专业技术能力；</w:t>
      </w:r>
    </w:p>
    <w:p w14:paraId="4676FD5B">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（6）有依法缴纳税收和社会保障资金的良好记录；</w:t>
      </w:r>
    </w:p>
    <w:p w14:paraId="264BA6F2">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（7）参加政府采购活动前三年内，在经营活动中没有重大违法记录；</w:t>
      </w:r>
    </w:p>
    <w:p w14:paraId="3B74C699">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（8）法律、行政法规规定的其他条件；</w:t>
      </w:r>
    </w:p>
    <w:p w14:paraId="64FE65A1">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w:t>
      </w:r>
      <w:r>
        <w:rPr>
          <w:rFonts w:hint="eastAsia"/>
          <w:sz w:val="24"/>
          <w:highlight w:val="none"/>
          <w:lang w:val="en-US" w:eastAsia="zh-CN"/>
        </w:rPr>
        <w:t>9</w:t>
      </w:r>
      <w:r>
        <w:rPr>
          <w:rFonts w:hint="eastAsia" w:ascii="宋体" w:hAnsi="宋体"/>
          <w:sz w:val="24"/>
          <w:highlight w:val="none"/>
        </w:rPr>
        <w:t>）信誉要求：供应商在“信用中国”网站（www.creditchina.gov.cn）中重大税收违法失信主体、政府采购严重违法失信行为记录名单，“中国执行信息公开网”网站（http://zxgk.court.gov.cn/）未被列入失信被执行人行为名单。</w:t>
      </w:r>
    </w:p>
    <w:p w14:paraId="67B6554A">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w:t>
      </w:r>
      <w:r>
        <w:rPr>
          <w:rFonts w:hint="eastAsia"/>
          <w:sz w:val="24"/>
          <w:highlight w:val="none"/>
          <w:lang w:val="en-US" w:eastAsia="zh-CN"/>
        </w:rPr>
        <w:t>10</w:t>
      </w:r>
      <w:r>
        <w:rPr>
          <w:rFonts w:hint="eastAsia" w:ascii="宋体" w:hAnsi="宋体"/>
          <w:sz w:val="24"/>
          <w:highlight w:val="none"/>
        </w:rPr>
        <w:t>）资格审查方式：资格后审；</w:t>
      </w:r>
    </w:p>
    <w:p w14:paraId="2DC5914F">
      <w:pPr>
        <w:keepNext w:val="0"/>
        <w:keepLines w:val="0"/>
        <w:pageBreakBefore w:val="0"/>
        <w:kinsoku/>
        <w:wordWrap/>
        <w:overflowPunct/>
        <w:topLinePunct w:val="0"/>
        <w:bidi w:val="0"/>
        <w:adjustRightInd/>
        <w:snapToGrid/>
        <w:spacing w:line="380" w:lineRule="exact"/>
        <w:jc w:val="left"/>
        <w:textAlignment w:val="auto"/>
        <w:rPr>
          <w:rFonts w:hint="eastAsia" w:ascii="宋体" w:hAnsi="宋体"/>
          <w:sz w:val="24"/>
          <w:highlight w:val="none"/>
        </w:rPr>
      </w:pPr>
      <w:r>
        <w:rPr>
          <w:rFonts w:hint="eastAsia" w:ascii="宋体" w:hAnsi="宋体"/>
          <w:sz w:val="24"/>
          <w:highlight w:val="none"/>
        </w:rPr>
        <w:t>（</w:t>
      </w:r>
      <w:r>
        <w:rPr>
          <w:rFonts w:hint="eastAsia"/>
          <w:sz w:val="24"/>
          <w:highlight w:val="none"/>
          <w:lang w:val="en-US" w:eastAsia="zh-CN"/>
        </w:rPr>
        <w:t>11</w:t>
      </w:r>
      <w:r>
        <w:rPr>
          <w:rFonts w:hint="eastAsia" w:ascii="宋体" w:hAnsi="宋体"/>
          <w:sz w:val="24"/>
          <w:highlight w:val="none"/>
        </w:rPr>
        <w:t>）本项目不接受联合体投标。</w:t>
      </w:r>
    </w:p>
    <w:p w14:paraId="0902911F">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eastAsia"/>
          <w:b/>
          <w:bCs/>
          <w:sz w:val="24"/>
          <w:szCs w:val="24"/>
          <w:highlight w:val="none"/>
        </w:rPr>
      </w:pPr>
      <w:r>
        <w:rPr>
          <w:rFonts w:hint="eastAsia"/>
          <w:b/>
          <w:bCs/>
          <w:sz w:val="24"/>
          <w:szCs w:val="24"/>
          <w:highlight w:val="none"/>
        </w:rPr>
        <w:t>三、获取竞争性磋商文件</w:t>
      </w:r>
      <w:bookmarkEnd w:id="25"/>
      <w:bookmarkEnd w:id="26"/>
    </w:p>
    <w:p w14:paraId="7DF3E945">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480" w:firstLineChars="200"/>
        <w:jc w:val="both"/>
        <w:textAlignment w:val="auto"/>
        <w:rPr>
          <w:rFonts w:hint="eastAsia" w:cs="宋体"/>
          <w:sz w:val="24"/>
          <w:szCs w:val="24"/>
          <w:highlight w:val="none"/>
          <w:lang w:eastAsia="zh-CN"/>
        </w:rPr>
      </w:pPr>
      <w:bookmarkStart w:id="27" w:name="_Toc28359015"/>
      <w:bookmarkStart w:id="28" w:name="_Toc28359092"/>
      <w:r>
        <w:rPr>
          <w:rFonts w:hint="eastAsia" w:cs="宋体"/>
          <w:sz w:val="24"/>
          <w:szCs w:val="24"/>
          <w:highlight w:val="none"/>
          <w:lang w:eastAsia="zh-CN"/>
        </w:rPr>
        <w:t>凡有意参加竞标者，请于2025年</w:t>
      </w:r>
      <w:r>
        <w:rPr>
          <w:rFonts w:hint="eastAsia" w:cs="宋体"/>
          <w:sz w:val="24"/>
          <w:szCs w:val="24"/>
          <w:highlight w:val="none"/>
          <w:lang w:val="en-US" w:eastAsia="zh-CN"/>
        </w:rPr>
        <w:t>07</w:t>
      </w:r>
      <w:r>
        <w:rPr>
          <w:rFonts w:hint="eastAsia" w:cs="宋体"/>
          <w:sz w:val="24"/>
          <w:szCs w:val="24"/>
          <w:highlight w:val="none"/>
          <w:lang w:eastAsia="zh-CN"/>
        </w:rPr>
        <w:t>月</w:t>
      </w:r>
      <w:r>
        <w:rPr>
          <w:rFonts w:hint="eastAsia" w:cs="宋体"/>
          <w:sz w:val="24"/>
          <w:szCs w:val="24"/>
          <w:highlight w:val="none"/>
          <w:lang w:val="en-US" w:eastAsia="zh-CN"/>
        </w:rPr>
        <w:t>29</w:t>
      </w:r>
      <w:r>
        <w:rPr>
          <w:rFonts w:hint="eastAsia" w:cs="宋体"/>
          <w:sz w:val="24"/>
          <w:szCs w:val="24"/>
          <w:highlight w:val="none"/>
          <w:lang w:eastAsia="zh-CN"/>
        </w:rPr>
        <w:t>日至 2025年</w:t>
      </w:r>
      <w:r>
        <w:rPr>
          <w:rFonts w:hint="eastAsia" w:cs="宋体"/>
          <w:sz w:val="24"/>
          <w:szCs w:val="24"/>
          <w:highlight w:val="none"/>
          <w:lang w:val="en-US" w:eastAsia="zh-CN"/>
        </w:rPr>
        <w:t>08</w:t>
      </w:r>
      <w:r>
        <w:rPr>
          <w:rFonts w:hint="eastAsia" w:cs="宋体"/>
          <w:sz w:val="24"/>
          <w:szCs w:val="24"/>
          <w:highlight w:val="none"/>
          <w:lang w:eastAsia="zh-CN"/>
        </w:rPr>
        <w:t>月</w:t>
      </w:r>
      <w:r>
        <w:rPr>
          <w:rFonts w:hint="eastAsia" w:cs="宋体"/>
          <w:sz w:val="24"/>
          <w:szCs w:val="24"/>
          <w:highlight w:val="none"/>
          <w:lang w:val="en-US" w:eastAsia="zh-CN"/>
        </w:rPr>
        <w:t>04</w:t>
      </w:r>
      <w:r>
        <w:rPr>
          <w:rFonts w:hint="eastAsia" w:cs="宋体"/>
          <w:sz w:val="24"/>
          <w:szCs w:val="24"/>
          <w:highlight w:val="none"/>
          <w:lang w:eastAsia="zh-CN"/>
        </w:rPr>
        <w:t>日（五个工作日），每日上午 8:30时至12:00 时，下午15:00时至18:00 时（北京时间），获取文件时需将下列资料的加盖公章的扫描件电子版（PDF格式）发送到邮箱whsszgcglzxfw@126.com，并打电话0473-2798888告知，邮件需注明投标人名称，联系人，联系方式，邮箱。如资料不全，将不予受理。</w:t>
      </w:r>
    </w:p>
    <w:p w14:paraId="7BC8FD54">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80" w:lineRule="exact"/>
        <w:ind w:right="0" w:firstLine="480" w:firstLineChars="200"/>
        <w:jc w:val="both"/>
        <w:textAlignment w:val="auto"/>
        <w:rPr>
          <w:rFonts w:hint="eastAsia" w:ascii="宋体" w:hAnsi="宋体" w:eastAsia="宋体" w:cs="宋体"/>
          <w:b/>
          <w:bCs/>
          <w:sz w:val="24"/>
          <w:szCs w:val="24"/>
          <w:highlight w:val="none"/>
          <w:lang w:eastAsia="zh-CN"/>
        </w:rPr>
      </w:pPr>
      <w:r>
        <w:rPr>
          <w:rFonts w:hint="eastAsia" w:ascii="宋体" w:hAnsi="宋体" w:eastAsia="宋体" w:cs="宋体"/>
          <w:b w:val="0"/>
          <w:bCs w:val="0"/>
          <w:sz w:val="24"/>
          <w:szCs w:val="24"/>
          <w:highlight w:val="none"/>
          <w:lang w:val="en-US" w:eastAsia="zh-CN"/>
        </w:rPr>
        <w:t>营业执照</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法定代表人或授权委托书</w:t>
      </w:r>
      <w:r>
        <w:rPr>
          <w:rFonts w:hint="eastAsia" w:cs="宋体"/>
          <w:b w:val="0"/>
          <w:bCs w:val="0"/>
          <w:sz w:val="24"/>
          <w:szCs w:val="24"/>
          <w:highlight w:val="none"/>
          <w:lang w:val="en-US" w:eastAsia="zh-CN"/>
        </w:rPr>
        <w:t>，有效期内的</w:t>
      </w:r>
      <w:r>
        <w:rPr>
          <w:rFonts w:hint="eastAsia" w:ascii="宋体" w:hAnsi="宋体" w:eastAsia="宋体" w:cs="宋体"/>
          <w:b w:val="0"/>
          <w:bCs w:val="0"/>
          <w:sz w:val="24"/>
          <w:szCs w:val="24"/>
          <w:highlight w:val="none"/>
          <w:lang w:val="en-US" w:eastAsia="zh-CN"/>
        </w:rPr>
        <w:t>会计师事务所执业证书</w:t>
      </w:r>
      <w:r>
        <w:rPr>
          <w:rFonts w:hint="eastAsia" w:cs="宋体"/>
          <w:b w:val="0"/>
          <w:bCs w:val="0"/>
          <w:sz w:val="24"/>
          <w:szCs w:val="24"/>
          <w:highlight w:val="none"/>
          <w:lang w:val="en-US" w:eastAsia="zh-CN"/>
        </w:rPr>
        <w:t>，项目负责人注册会计师证书、劳动合同、社保缴纳证明（退休人员提供注册会计师证书、退休证明及聘用合同），</w:t>
      </w:r>
      <w:r>
        <w:rPr>
          <w:rFonts w:hint="eastAsia" w:ascii="宋体" w:hAnsi="宋体" w:eastAsia="宋体" w:cs="宋体"/>
          <w:color w:val="auto"/>
          <w:sz w:val="24"/>
          <w:szCs w:val="24"/>
          <w:highlight w:val="none"/>
          <w:lang w:val="en-US" w:eastAsia="zh-CN"/>
        </w:rPr>
        <w:t>202</w:t>
      </w:r>
      <w:bookmarkStart w:id="390" w:name="_GoBack"/>
      <w:bookmarkEnd w:id="390"/>
      <w:r>
        <w:rPr>
          <w:rFonts w:hint="eastAsia" w:ascii="宋体" w:hAnsi="宋体" w:eastAsia="宋体" w:cs="宋体"/>
          <w:color w:val="auto"/>
          <w:sz w:val="24"/>
          <w:szCs w:val="24"/>
          <w:highlight w:val="none"/>
          <w:lang w:val="en-US" w:eastAsia="zh-CN"/>
        </w:rPr>
        <w:t>4年</w:t>
      </w:r>
      <w:r>
        <w:rPr>
          <w:rFonts w:hint="eastAsia" w:ascii="宋体" w:hAnsi="宋体" w:eastAsia="宋体" w:cs="宋体"/>
          <w:color w:val="auto"/>
          <w:sz w:val="24"/>
          <w:szCs w:val="24"/>
          <w:highlight w:val="none"/>
        </w:rPr>
        <w:t>度财务审计报告</w:t>
      </w:r>
      <w:r>
        <w:rPr>
          <w:rFonts w:hint="eastAsia" w:ascii="宋体" w:hAnsi="宋体" w:eastAsia="宋体" w:cs="宋体"/>
          <w:color w:val="auto"/>
          <w:sz w:val="24"/>
          <w:szCs w:val="24"/>
          <w:highlight w:val="none"/>
          <w:lang w:val="en-US" w:eastAsia="zh-CN"/>
        </w:rPr>
        <w:t>或财务报表</w:t>
      </w:r>
      <w:r>
        <w:rPr>
          <w:rFonts w:hint="eastAsia" w:cs="宋体"/>
          <w:color w:val="auto"/>
          <w:sz w:val="24"/>
          <w:szCs w:val="24"/>
          <w:highlight w:val="none"/>
          <w:lang w:val="en-US" w:eastAsia="zh-CN"/>
        </w:rPr>
        <w:t>，</w:t>
      </w:r>
      <w:r>
        <w:rPr>
          <w:rFonts w:hint="eastAsia" w:ascii="宋体" w:hAnsi="宋体" w:eastAsia="宋体" w:cs="宋体"/>
          <w:sz w:val="24"/>
          <w:szCs w:val="24"/>
          <w:highlight w:val="none"/>
        </w:rPr>
        <w:t>提供递交响应文件截止之日前一年内（至少一个月）的良好缴纳税收的相关</w:t>
      </w:r>
      <w:r>
        <w:rPr>
          <w:rFonts w:hint="eastAsia" w:cs="宋体"/>
          <w:sz w:val="24"/>
          <w:szCs w:val="24"/>
          <w:highlight w:val="none"/>
          <w:lang w:val="en-US" w:eastAsia="zh-CN"/>
        </w:rPr>
        <w:t>材料</w:t>
      </w:r>
      <w:r>
        <w:rPr>
          <w:rFonts w:hint="eastAsia" w:cs="宋体"/>
          <w:sz w:val="24"/>
          <w:szCs w:val="24"/>
          <w:highlight w:val="none"/>
          <w:lang w:eastAsia="zh-CN"/>
        </w:rPr>
        <w:t>，</w:t>
      </w:r>
      <w:r>
        <w:rPr>
          <w:rFonts w:hint="eastAsia" w:ascii="宋体" w:hAnsi="宋体" w:eastAsia="宋体" w:cs="宋体"/>
          <w:sz w:val="24"/>
          <w:szCs w:val="24"/>
          <w:highlight w:val="none"/>
        </w:rPr>
        <w:t>提供递交响应文件截止之日前一年内（至少一个月）的缴纳社会保险的</w:t>
      </w:r>
      <w:r>
        <w:rPr>
          <w:rFonts w:hint="eastAsia" w:cs="宋体"/>
          <w:sz w:val="24"/>
          <w:szCs w:val="24"/>
          <w:highlight w:val="none"/>
          <w:lang w:val="en-US" w:eastAsia="zh-CN"/>
        </w:rPr>
        <w:t>相关材料</w:t>
      </w:r>
      <w:r>
        <w:rPr>
          <w:rFonts w:hint="eastAsia" w:cs="宋体"/>
          <w:sz w:val="24"/>
          <w:szCs w:val="24"/>
          <w:highlight w:val="none"/>
          <w:lang w:eastAsia="zh-CN"/>
        </w:rPr>
        <w:t>，参加政府采购活动前三年内，在经营活动中没有重大违法记录承诺函。具有履行合同所必需的设备和专业技术能力承诺函，“信用中国”网站、“中国执行信息公开网”查询结果截图。</w:t>
      </w:r>
    </w:p>
    <w:p w14:paraId="6A4A22FA">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eastAsia"/>
          <w:b/>
          <w:bCs/>
          <w:sz w:val="24"/>
          <w:szCs w:val="24"/>
          <w:highlight w:val="none"/>
        </w:rPr>
      </w:pPr>
      <w:r>
        <w:rPr>
          <w:rFonts w:hint="eastAsia"/>
          <w:b/>
          <w:bCs/>
          <w:sz w:val="24"/>
          <w:szCs w:val="24"/>
          <w:highlight w:val="none"/>
        </w:rPr>
        <w:t>四、</w:t>
      </w:r>
      <w:r>
        <w:rPr>
          <w:rFonts w:hint="eastAsia" w:ascii="宋体" w:hAnsi="宋体" w:cs="宋体"/>
          <w:b/>
          <w:bCs/>
          <w:sz w:val="24"/>
          <w:szCs w:val="24"/>
          <w:highlight w:val="none"/>
        </w:rPr>
        <w:t>竞标文件递交、截止时间及地点：</w:t>
      </w:r>
      <w:r>
        <w:rPr>
          <w:rFonts w:hint="eastAsia"/>
          <w:b/>
          <w:bCs/>
          <w:sz w:val="24"/>
          <w:szCs w:val="24"/>
          <w:highlight w:val="none"/>
        </w:rPr>
        <w:t xml:space="preserve">  </w:t>
      </w:r>
      <w:r>
        <w:rPr>
          <w:rFonts w:hint="eastAsia" w:cs="宋体"/>
          <w:sz w:val="24"/>
          <w:szCs w:val="24"/>
          <w:highlight w:val="none"/>
        </w:rPr>
        <w:t xml:space="preserve">                                                                                                                                                                                                                                                  </w:t>
      </w:r>
      <w:bookmarkEnd w:id="27"/>
      <w:bookmarkEnd w:id="28"/>
    </w:p>
    <w:p w14:paraId="6FA2695E">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1、响应文件递交的截止时间：详见竞争性磋商文件。</w:t>
      </w:r>
    </w:p>
    <w:p w14:paraId="46BF6D93">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2、响应文件递交地点：乌海市海勃湾区海拉北路与和平街交汇处移动公司（二三局）三楼。</w:t>
      </w:r>
    </w:p>
    <w:p w14:paraId="36E02CAD">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 xml:space="preserve">3、逾期送达的或者未送达指定地点的响应文件，不予受理。  </w:t>
      </w:r>
    </w:p>
    <w:p w14:paraId="634AB0A4">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b/>
          <w:bCs/>
          <w:sz w:val="24"/>
          <w:szCs w:val="24"/>
          <w:highlight w:val="none"/>
        </w:rPr>
      </w:pPr>
      <w:bookmarkStart w:id="29" w:name="_Toc28359094"/>
      <w:bookmarkStart w:id="30" w:name="_Toc28359017"/>
      <w:r>
        <w:rPr>
          <w:rFonts w:hint="eastAsia"/>
          <w:b/>
          <w:bCs/>
          <w:sz w:val="24"/>
          <w:szCs w:val="24"/>
          <w:highlight w:val="none"/>
        </w:rPr>
        <w:t>五、公告期限</w:t>
      </w:r>
      <w:bookmarkEnd w:id="29"/>
      <w:bookmarkEnd w:id="30"/>
      <w:r>
        <w:rPr>
          <w:rFonts w:hint="eastAsia"/>
          <w:b/>
          <w:bCs/>
          <w:sz w:val="24"/>
          <w:szCs w:val="24"/>
          <w:highlight w:val="none"/>
        </w:rPr>
        <w:t>及发布媒介</w:t>
      </w:r>
    </w:p>
    <w:p w14:paraId="6733410C">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自本公告发布之日起5个工作日。</w:t>
      </w:r>
    </w:p>
    <w:p w14:paraId="27F18ABE">
      <w:pPr>
        <w:pStyle w:val="16"/>
        <w:keepNext w:val="0"/>
        <w:keepLines w:val="0"/>
        <w:pageBreakBefore w:val="0"/>
        <w:widowControl w:val="0"/>
        <w:kinsoku/>
        <w:wordWrap w:val="0"/>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bookmarkStart w:id="31" w:name="_Toc28359018"/>
      <w:bookmarkStart w:id="32" w:name="_Toc28359095"/>
      <w:r>
        <w:rPr>
          <w:rFonts w:hint="eastAsia"/>
          <w:highlight w:val="none"/>
        </w:rPr>
        <w:t>1、本公告在《内蒙古自治区采购单位服务平台》（网址：https://nmg.gcycloud.cn/）、《内蒙古招标投标公共服务平台》（网址：http://www.nmgztb.com.cn/）网上发布。</w:t>
      </w:r>
    </w:p>
    <w:p w14:paraId="79A23696">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2、本公告如有变更，请到《内蒙古自治区采购单位服务平台》、《内蒙古招标投标公共服务平台》获取信息。</w:t>
      </w:r>
    </w:p>
    <w:p w14:paraId="69859310">
      <w:pPr>
        <w:keepNext w:val="0"/>
        <w:keepLines w:val="0"/>
        <w:pageBreakBefore w:val="0"/>
        <w:kinsoku/>
        <w:wordWrap/>
        <w:overflowPunct/>
        <w:topLinePunct w:val="0"/>
        <w:autoSpaceDE/>
        <w:autoSpaceDN/>
        <w:bidi w:val="0"/>
        <w:adjustRightInd/>
        <w:snapToGrid/>
        <w:spacing w:beforeAutospacing="0" w:afterAutospacing="0" w:line="380" w:lineRule="exact"/>
        <w:textAlignment w:val="auto"/>
        <w:rPr>
          <w:rFonts w:hint="eastAsia"/>
          <w:b/>
          <w:bCs/>
          <w:sz w:val="24"/>
          <w:szCs w:val="24"/>
          <w:highlight w:val="none"/>
        </w:rPr>
      </w:pPr>
      <w:r>
        <w:rPr>
          <w:rFonts w:hint="eastAsia"/>
          <w:b/>
          <w:bCs/>
          <w:sz w:val="24"/>
          <w:szCs w:val="24"/>
          <w:highlight w:val="none"/>
        </w:rPr>
        <w:t>六、凡对本次采购提出询问，请按以下方式联系。</w:t>
      </w:r>
      <w:bookmarkEnd w:id="31"/>
      <w:bookmarkEnd w:id="32"/>
    </w:p>
    <w:p w14:paraId="30C6519F">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eastAsia="宋体"/>
          <w:highlight w:val="none"/>
          <w:lang w:eastAsia="zh-CN"/>
        </w:rPr>
      </w:pPr>
      <w:r>
        <w:rPr>
          <w:rFonts w:hint="eastAsia"/>
          <w:highlight w:val="none"/>
        </w:rPr>
        <w:t>采购人：</w:t>
      </w:r>
      <w:r>
        <w:rPr>
          <w:rFonts w:hint="eastAsia"/>
          <w:highlight w:val="none"/>
          <w:lang w:eastAsia="zh-CN"/>
        </w:rPr>
        <w:t>乌海市发展和改革委员会</w:t>
      </w:r>
    </w:p>
    <w:p w14:paraId="255019D6">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办公地址：</w:t>
      </w:r>
      <w:r>
        <w:rPr>
          <w:rFonts w:hint="eastAsia" w:ascii="宋体" w:hAnsi="宋体" w:eastAsia="宋体" w:cs="宋体"/>
          <w:b w:val="0"/>
          <w:bCs w:val="0"/>
          <w:color w:val="auto"/>
          <w:sz w:val="24"/>
          <w:szCs w:val="24"/>
          <w:highlight w:val="none"/>
          <w:lang w:val="en-US" w:eastAsia="zh-CN"/>
        </w:rPr>
        <w:t>乌海市</w:t>
      </w:r>
      <w:r>
        <w:rPr>
          <w:rFonts w:hint="eastAsia" w:ascii="宋体" w:hAnsi="宋体" w:cs="宋体"/>
          <w:b w:val="0"/>
          <w:bCs w:val="0"/>
          <w:color w:val="auto"/>
          <w:sz w:val="24"/>
          <w:szCs w:val="24"/>
          <w:highlight w:val="none"/>
          <w:lang w:val="en-US" w:eastAsia="zh-CN"/>
        </w:rPr>
        <w:t>海勃湾区</w:t>
      </w:r>
    </w:p>
    <w:p w14:paraId="269E28CB">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eastAsia="宋体"/>
          <w:highlight w:val="none"/>
          <w:lang w:val="en-US" w:eastAsia="zh-CN"/>
        </w:rPr>
      </w:pPr>
      <w:r>
        <w:rPr>
          <w:rFonts w:hint="eastAsia"/>
          <w:highlight w:val="none"/>
        </w:rPr>
        <w:t>联系人：陈轩</w:t>
      </w:r>
    </w:p>
    <w:p w14:paraId="7EDBCDD6">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default" w:eastAsia="宋体"/>
          <w:highlight w:val="none"/>
          <w:lang w:val="en-US" w:eastAsia="zh-CN"/>
        </w:rPr>
      </w:pPr>
      <w:r>
        <w:rPr>
          <w:rFonts w:hint="eastAsia"/>
          <w:highlight w:val="none"/>
        </w:rPr>
        <w:t>联系电话：18647337756</w:t>
      </w:r>
    </w:p>
    <w:p w14:paraId="7E616C5F">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采购代理机构：乌海市思正工程管理咨询服务有限公司</w:t>
      </w:r>
    </w:p>
    <w:p w14:paraId="119B73AE">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 xml:space="preserve">办公地址:乌海市海勃湾区海拉北路与和平街交汇处移动公司（二三局）三楼                      </w:t>
      </w:r>
    </w:p>
    <w:p w14:paraId="366E864B">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联系人：</w:t>
      </w:r>
      <w:r>
        <w:rPr>
          <w:rFonts w:hint="eastAsia"/>
          <w:highlight w:val="none"/>
          <w:lang w:val="en-US" w:eastAsia="zh-CN"/>
        </w:rPr>
        <w:t>周</w:t>
      </w:r>
      <w:r>
        <w:rPr>
          <w:rFonts w:hint="eastAsia"/>
          <w:highlight w:val="none"/>
        </w:rPr>
        <w:t xml:space="preserve"> 工      </w:t>
      </w:r>
    </w:p>
    <w:p w14:paraId="5E0CEE39">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default" w:eastAsia="宋体"/>
          <w:highlight w:val="none"/>
          <w:lang w:val="en-US" w:eastAsia="zh-CN"/>
        </w:rPr>
      </w:pPr>
      <w:r>
        <w:rPr>
          <w:rFonts w:hint="eastAsia"/>
          <w:highlight w:val="none"/>
        </w:rPr>
        <w:t>联系电话：0473-2798888</w:t>
      </w:r>
      <w:r>
        <w:rPr>
          <w:rFonts w:hint="eastAsia"/>
          <w:highlight w:val="none"/>
          <w:lang w:eastAsia="zh-CN"/>
        </w:rPr>
        <w:t>、</w:t>
      </w:r>
      <w:r>
        <w:rPr>
          <w:rFonts w:hint="eastAsia"/>
          <w:highlight w:val="none"/>
          <w:lang w:val="en-US" w:eastAsia="zh-CN"/>
        </w:rPr>
        <w:t>13847311591</w:t>
      </w:r>
    </w:p>
    <w:p w14:paraId="557B23E0">
      <w:pPr>
        <w:pStyle w:val="16"/>
        <w:keepNext w:val="0"/>
        <w:keepLines w:val="0"/>
        <w:pageBreakBefore w:val="0"/>
        <w:kinsoku/>
        <w:wordWrap/>
        <w:overflowPunct/>
        <w:topLinePunct w:val="0"/>
        <w:autoSpaceDE/>
        <w:autoSpaceDN/>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Email:</w:t>
      </w:r>
      <w:r>
        <w:rPr>
          <w:rFonts w:hint="eastAsia"/>
          <w:highlight w:val="none"/>
        </w:rPr>
        <w:fldChar w:fldCharType="begin"/>
      </w:r>
      <w:r>
        <w:rPr>
          <w:rFonts w:hint="eastAsia"/>
          <w:highlight w:val="none"/>
        </w:rPr>
        <w:instrText xml:space="preserve"> HYPERLINK "mailto:whsszgcglzxfw@126.com" </w:instrText>
      </w:r>
      <w:r>
        <w:rPr>
          <w:rFonts w:hint="eastAsia"/>
          <w:highlight w:val="none"/>
        </w:rPr>
        <w:fldChar w:fldCharType="separate"/>
      </w:r>
      <w:r>
        <w:rPr>
          <w:rFonts w:hint="eastAsia"/>
          <w:highlight w:val="none"/>
        </w:rPr>
        <w:t>whsszgcglzxfw@126.com</w:t>
      </w:r>
      <w:r>
        <w:rPr>
          <w:rFonts w:hint="eastAsia"/>
          <w:highlight w:val="none"/>
        </w:rPr>
        <w:fldChar w:fldCharType="end"/>
      </w:r>
      <w:r>
        <w:rPr>
          <w:rFonts w:hint="eastAsia"/>
          <w:highlight w:val="none"/>
        </w:rPr>
        <w:t xml:space="preserve">                           </w:t>
      </w:r>
    </w:p>
    <w:p w14:paraId="3FF7DCD2">
      <w:pPr>
        <w:pStyle w:val="16"/>
        <w:keepNext w:val="0"/>
        <w:keepLines w:val="0"/>
        <w:pageBreakBefore w:val="0"/>
        <w:kinsoku/>
        <w:wordWrap/>
        <w:overflowPunct/>
        <w:topLinePunct w:val="0"/>
        <w:bidi w:val="0"/>
        <w:adjustRightInd/>
        <w:snapToGrid/>
        <w:spacing w:beforeAutospacing="0" w:afterAutospacing="0" w:line="380" w:lineRule="exact"/>
        <w:ind w:firstLine="480" w:firstLineChars="200"/>
        <w:textAlignment w:val="auto"/>
        <w:rPr>
          <w:rFonts w:hint="eastAsia"/>
          <w:highlight w:val="none"/>
        </w:rPr>
      </w:pPr>
      <w:r>
        <w:rPr>
          <w:rFonts w:hint="eastAsia"/>
          <w:highlight w:val="none"/>
        </w:rPr>
        <w:t xml:space="preserve">                                                    202</w:t>
      </w:r>
      <w:r>
        <w:rPr>
          <w:rFonts w:hint="eastAsia"/>
          <w:highlight w:val="none"/>
          <w:lang w:val="en-US" w:eastAsia="zh-CN"/>
        </w:rPr>
        <w:t>5</w:t>
      </w:r>
      <w:r>
        <w:rPr>
          <w:rFonts w:hint="eastAsia"/>
          <w:highlight w:val="none"/>
        </w:rPr>
        <w:t>年</w:t>
      </w:r>
      <w:r>
        <w:rPr>
          <w:rFonts w:hint="eastAsia"/>
          <w:highlight w:val="none"/>
          <w:lang w:val="en-US" w:eastAsia="zh-CN"/>
        </w:rPr>
        <w:t>07</w:t>
      </w:r>
      <w:r>
        <w:rPr>
          <w:rFonts w:hint="eastAsia"/>
          <w:highlight w:val="none"/>
        </w:rPr>
        <w:t>月</w:t>
      </w:r>
      <w:r>
        <w:rPr>
          <w:rFonts w:hint="eastAsia"/>
          <w:highlight w:val="none"/>
          <w:lang w:val="en-US" w:eastAsia="zh-CN"/>
        </w:rPr>
        <w:t>28</w:t>
      </w:r>
      <w:r>
        <w:rPr>
          <w:rFonts w:hint="eastAsia"/>
          <w:highlight w:val="none"/>
        </w:rPr>
        <w:t>日</w:t>
      </w:r>
    </w:p>
    <w:p w14:paraId="5130A8ED">
      <w:pPr>
        <w:pStyle w:val="16"/>
        <w:keepNext w:val="0"/>
        <w:keepLines w:val="0"/>
        <w:pageBreakBefore w:val="0"/>
        <w:kinsoku/>
        <w:wordWrap/>
        <w:overflowPunct/>
        <w:topLinePunct w:val="0"/>
        <w:bidi w:val="0"/>
        <w:adjustRightInd/>
        <w:snapToGrid/>
        <w:spacing w:beforeAutospacing="0" w:afterAutospacing="0" w:line="380" w:lineRule="exact"/>
        <w:ind w:firstLine="480" w:firstLineChars="200"/>
        <w:textAlignment w:val="auto"/>
        <w:rPr>
          <w:rFonts w:hint="eastAsia"/>
          <w:highlight w:val="none"/>
          <w:lang w:eastAsia="zh-CN"/>
        </w:rPr>
      </w:pPr>
    </w:p>
    <w:p w14:paraId="42304715"/>
    <w:p w14:paraId="2E44BF60">
      <w:pPr>
        <w:pStyle w:val="2"/>
        <w:rPr>
          <w:color w:val="auto"/>
          <w:highlight w:val="none"/>
        </w:rPr>
      </w:pPr>
      <w:bookmarkStart w:id="33" w:name="_Toc25158"/>
      <w:r>
        <w:rPr>
          <w:color w:val="auto"/>
          <w:highlight w:val="none"/>
        </w:rPr>
        <w:t>第二章 供应商须知</w:t>
      </w:r>
      <w:bookmarkEnd w:id="33"/>
    </w:p>
    <w:p w14:paraId="3A755544">
      <w:pPr>
        <w:pStyle w:val="9"/>
        <w:ind w:left="0"/>
        <w:rPr>
          <w:b/>
          <w:color w:val="auto"/>
          <w:sz w:val="20"/>
          <w:highlight w:val="none"/>
        </w:rPr>
      </w:pPr>
    </w:p>
    <w:p w14:paraId="28FB907F">
      <w:pPr>
        <w:pStyle w:val="4"/>
        <w:spacing w:before="70"/>
        <w:rPr>
          <w:color w:val="auto"/>
          <w:highlight w:val="none"/>
        </w:rPr>
      </w:pPr>
      <w:bookmarkStart w:id="34" w:name="_Toc20001"/>
      <w:bookmarkStart w:id="35" w:name="_Toc22319"/>
      <w:bookmarkStart w:id="36" w:name="_Toc272"/>
      <w:bookmarkStart w:id="37" w:name="_Toc6992"/>
      <w:bookmarkStart w:id="38" w:name="_Toc25207"/>
      <w:r>
        <w:rPr>
          <w:rFonts w:hint="eastAsia"/>
          <w:color w:val="auto"/>
          <w:w w:val="110"/>
          <w:highlight w:val="none"/>
          <w:lang w:val="en-US" w:eastAsia="zh-CN"/>
        </w:rPr>
        <w:t>一、</w:t>
      </w:r>
      <w:r>
        <w:rPr>
          <w:color w:val="auto"/>
          <w:w w:val="110"/>
          <w:highlight w:val="none"/>
        </w:rPr>
        <w:t>前附表</w:t>
      </w:r>
      <w:bookmarkEnd w:id="34"/>
      <w:bookmarkEnd w:id="35"/>
      <w:bookmarkEnd w:id="36"/>
      <w:bookmarkEnd w:id="37"/>
      <w:bookmarkEnd w:id="38"/>
    </w:p>
    <w:p w14:paraId="77146E2F">
      <w:pPr>
        <w:pStyle w:val="9"/>
        <w:ind w:left="0"/>
        <w:rPr>
          <w:b/>
          <w:color w:val="auto"/>
          <w:sz w:val="20"/>
          <w:highlight w:val="none"/>
        </w:rPr>
      </w:pPr>
    </w:p>
    <w:tbl>
      <w:tblPr>
        <w:tblStyle w:val="19"/>
        <w:tblW w:w="990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91"/>
        <w:gridCol w:w="1850"/>
        <w:gridCol w:w="7262"/>
      </w:tblGrid>
      <w:tr w14:paraId="19740F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8" w:hRule="atLeast"/>
          <w:jc w:val="center"/>
        </w:trPr>
        <w:tc>
          <w:tcPr>
            <w:tcW w:w="791" w:type="dxa"/>
            <w:vAlign w:val="center"/>
          </w:tcPr>
          <w:p w14:paraId="456F8D4A">
            <w:pPr>
              <w:pStyle w:val="28"/>
              <w:spacing w:before="60"/>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1"/>
                <w:sz w:val="21"/>
                <w:szCs w:val="21"/>
                <w:highlight w:val="none"/>
              </w:rPr>
              <w:t>序号</w:t>
            </w:r>
          </w:p>
        </w:tc>
        <w:tc>
          <w:tcPr>
            <w:tcW w:w="1850" w:type="dxa"/>
            <w:vAlign w:val="center"/>
          </w:tcPr>
          <w:p w14:paraId="57E3E6F3">
            <w:pPr>
              <w:pStyle w:val="2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条款名称</w:t>
            </w:r>
          </w:p>
        </w:tc>
        <w:tc>
          <w:tcPr>
            <w:tcW w:w="7262" w:type="dxa"/>
            <w:vAlign w:val="center"/>
          </w:tcPr>
          <w:p w14:paraId="07888000">
            <w:pPr>
              <w:pStyle w:val="28"/>
              <w:ind w:right="357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内容及要求</w:t>
            </w:r>
          </w:p>
        </w:tc>
      </w:tr>
      <w:tr w14:paraId="1681C3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40CEF63B">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w:t>
            </w:r>
          </w:p>
        </w:tc>
        <w:tc>
          <w:tcPr>
            <w:tcW w:w="1850" w:type="dxa"/>
            <w:vAlign w:val="center"/>
          </w:tcPr>
          <w:p w14:paraId="79CC9CCC">
            <w:pPr>
              <w:pStyle w:val="28"/>
              <w:spacing w:before="60"/>
              <w:ind w:left="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划分采购包情况</w:t>
            </w:r>
          </w:p>
        </w:tc>
        <w:tc>
          <w:tcPr>
            <w:tcW w:w="7262" w:type="dxa"/>
            <w:vAlign w:val="center"/>
          </w:tcPr>
          <w:p w14:paraId="6FE5BA5C">
            <w:pPr>
              <w:pStyle w:val="28"/>
              <w:spacing w:before="24" w:line="337" w:lineRule="exact"/>
              <w:ind w:left="101"/>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共1包</w:t>
            </w:r>
          </w:p>
        </w:tc>
      </w:tr>
      <w:tr w14:paraId="2FFE8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7ACE994E">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2</w:t>
            </w:r>
          </w:p>
        </w:tc>
        <w:tc>
          <w:tcPr>
            <w:tcW w:w="1850" w:type="dxa"/>
            <w:vAlign w:val="center"/>
          </w:tcPr>
          <w:p w14:paraId="2F9162B7">
            <w:pPr>
              <w:pStyle w:val="28"/>
              <w:spacing w:before="60"/>
              <w:ind w:left="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采购方式</w:t>
            </w:r>
          </w:p>
        </w:tc>
        <w:tc>
          <w:tcPr>
            <w:tcW w:w="7262" w:type="dxa"/>
            <w:vAlign w:val="center"/>
          </w:tcPr>
          <w:p w14:paraId="379386BD">
            <w:pPr>
              <w:pStyle w:val="28"/>
              <w:spacing w:before="60"/>
              <w:ind w:left="101"/>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竞争性磋商</w:t>
            </w:r>
          </w:p>
        </w:tc>
      </w:tr>
      <w:tr w14:paraId="08FE66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218E1F78">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3</w:t>
            </w:r>
          </w:p>
        </w:tc>
        <w:tc>
          <w:tcPr>
            <w:tcW w:w="1850" w:type="dxa"/>
            <w:vAlign w:val="center"/>
          </w:tcPr>
          <w:p w14:paraId="7CCD3AC6">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w:t>
            </w:r>
            <w:r>
              <w:rPr>
                <w:rFonts w:hint="eastAsia" w:ascii="宋体" w:hAnsi="宋体" w:eastAsia="宋体" w:cs="宋体"/>
                <w:color w:val="auto"/>
                <w:sz w:val="21"/>
                <w:szCs w:val="21"/>
                <w:highlight w:val="none"/>
                <w:lang w:val="en-US" w:eastAsia="zh-CN"/>
              </w:rPr>
              <w:t>标程序</w:t>
            </w:r>
          </w:p>
        </w:tc>
        <w:tc>
          <w:tcPr>
            <w:tcW w:w="7262" w:type="dxa"/>
            <w:vAlign w:val="center"/>
          </w:tcPr>
          <w:p w14:paraId="760471DD">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（1）宣布开标纪律；</w:t>
            </w:r>
          </w:p>
          <w:p w14:paraId="4D1498B1">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（2）公布在竞争性磋商截止时间前递交</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文件的竞标人名称，并点名确认竞标人是否派人到场；</w:t>
            </w:r>
          </w:p>
          <w:p w14:paraId="51C1495D">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（3）宣布开标人、唱标人、记录人、监标人等有关人员姓名；</w:t>
            </w:r>
          </w:p>
          <w:p w14:paraId="40B1C48F">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（4）密封情况检查：竞标人相互检查及监标人检查；</w:t>
            </w:r>
          </w:p>
          <w:p w14:paraId="491CE520">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（5）开标顺序：递交</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文件先后顺序；</w:t>
            </w:r>
          </w:p>
          <w:p w14:paraId="441E3E2C">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（6）开标结束。</w:t>
            </w:r>
          </w:p>
        </w:tc>
      </w:tr>
      <w:tr w14:paraId="05E9E6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6666DA14">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4</w:t>
            </w:r>
          </w:p>
        </w:tc>
        <w:tc>
          <w:tcPr>
            <w:tcW w:w="1850" w:type="dxa"/>
            <w:shd w:val="clear" w:color="auto" w:fill="auto"/>
            <w:vAlign w:val="center"/>
          </w:tcPr>
          <w:p w14:paraId="1F268116">
            <w:pPr>
              <w:pStyle w:val="28"/>
              <w:spacing w:before="60"/>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评审方法</w:t>
            </w:r>
          </w:p>
        </w:tc>
        <w:tc>
          <w:tcPr>
            <w:tcW w:w="7262" w:type="dxa"/>
            <w:shd w:val="clear" w:color="auto" w:fill="auto"/>
            <w:vAlign w:val="center"/>
          </w:tcPr>
          <w:p w14:paraId="3734C6EE">
            <w:pPr>
              <w:pStyle w:val="28"/>
              <w:spacing w:before="60"/>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综合评分法</w:t>
            </w:r>
          </w:p>
        </w:tc>
      </w:tr>
      <w:tr w14:paraId="4D141D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17EFD8D5">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5</w:t>
            </w:r>
          </w:p>
        </w:tc>
        <w:tc>
          <w:tcPr>
            <w:tcW w:w="1850" w:type="dxa"/>
            <w:shd w:val="clear" w:color="auto" w:fill="auto"/>
            <w:vAlign w:val="center"/>
          </w:tcPr>
          <w:p w14:paraId="7EC410F0">
            <w:pPr>
              <w:pStyle w:val="28"/>
              <w:spacing w:before="60"/>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获取磋商文件时间</w:t>
            </w:r>
          </w:p>
        </w:tc>
        <w:tc>
          <w:tcPr>
            <w:tcW w:w="7262" w:type="dxa"/>
            <w:shd w:val="clear" w:color="auto" w:fill="auto"/>
            <w:vAlign w:val="center"/>
          </w:tcPr>
          <w:p w14:paraId="5A1FAC05">
            <w:pPr>
              <w:pStyle w:val="28"/>
              <w:spacing w:before="60"/>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详见竞争性磋商公告</w:t>
            </w:r>
          </w:p>
        </w:tc>
      </w:tr>
      <w:tr w14:paraId="0B8622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07085C07">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6</w:t>
            </w:r>
          </w:p>
        </w:tc>
        <w:tc>
          <w:tcPr>
            <w:tcW w:w="1850" w:type="dxa"/>
            <w:shd w:val="clear" w:color="auto" w:fill="auto"/>
            <w:vAlign w:val="center"/>
          </w:tcPr>
          <w:p w14:paraId="39585EF2">
            <w:pPr>
              <w:pStyle w:val="28"/>
              <w:spacing w:before="60"/>
              <w:ind w:left="1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保证金缴纳截止时间（同响应文件提交截止时间）</w:t>
            </w:r>
          </w:p>
        </w:tc>
        <w:tc>
          <w:tcPr>
            <w:tcW w:w="7262" w:type="dxa"/>
            <w:shd w:val="clear" w:color="auto" w:fill="auto"/>
            <w:vAlign w:val="center"/>
          </w:tcPr>
          <w:p w14:paraId="02A3E606">
            <w:pPr>
              <w:pStyle w:val="28"/>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详见竞争性磋商公告</w:t>
            </w:r>
          </w:p>
        </w:tc>
      </w:tr>
      <w:tr w14:paraId="608991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9" w:hRule="atLeast"/>
          <w:jc w:val="center"/>
        </w:trPr>
        <w:tc>
          <w:tcPr>
            <w:tcW w:w="791" w:type="dxa"/>
            <w:vAlign w:val="center"/>
          </w:tcPr>
          <w:p w14:paraId="5078E6C9">
            <w:pPr>
              <w:pStyle w:val="28"/>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7</w:t>
            </w:r>
          </w:p>
        </w:tc>
        <w:tc>
          <w:tcPr>
            <w:tcW w:w="1850" w:type="dxa"/>
            <w:shd w:val="clear" w:color="auto" w:fill="auto"/>
            <w:vAlign w:val="center"/>
          </w:tcPr>
          <w:p w14:paraId="52C10F0B">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截止时间</w:t>
            </w:r>
          </w:p>
        </w:tc>
        <w:tc>
          <w:tcPr>
            <w:tcW w:w="7262" w:type="dxa"/>
            <w:shd w:val="clear" w:color="auto" w:fill="auto"/>
            <w:vAlign w:val="center"/>
          </w:tcPr>
          <w:p w14:paraId="7C104E93">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开标时间：202</w:t>
            </w:r>
            <w:r>
              <w:rPr>
                <w:rFonts w:hint="eastAsia" w:cs="宋体"/>
                <w:color w:val="auto"/>
                <w:sz w:val="21"/>
                <w:szCs w:val="21"/>
                <w:highlight w:val="none"/>
                <w:lang w:val="en-US" w:eastAsia="zh-CN"/>
              </w:rPr>
              <w:t>5年08</w:t>
            </w:r>
            <w:r>
              <w:rPr>
                <w:rFonts w:hint="eastAsia" w:ascii="宋体" w:hAnsi="宋体" w:eastAsia="宋体" w:cs="宋体"/>
                <w:color w:val="auto"/>
                <w:sz w:val="21"/>
                <w:szCs w:val="21"/>
                <w:highlight w:val="none"/>
              </w:rPr>
              <w:t>月</w:t>
            </w:r>
            <w:r>
              <w:rPr>
                <w:rFonts w:hint="eastAsia" w:cs="宋体"/>
                <w:color w:val="auto"/>
                <w:sz w:val="21"/>
                <w:szCs w:val="21"/>
                <w:highlight w:val="none"/>
                <w:lang w:val="en-US" w:eastAsia="zh-CN"/>
              </w:rPr>
              <w:t>08</w:t>
            </w:r>
            <w:r>
              <w:rPr>
                <w:rFonts w:hint="eastAsia" w:ascii="宋体" w:hAnsi="宋体" w:eastAsia="宋体" w:cs="宋体"/>
                <w:color w:val="auto"/>
                <w:sz w:val="21"/>
                <w:szCs w:val="21"/>
                <w:highlight w:val="none"/>
              </w:rPr>
              <w:t>日</w:t>
            </w:r>
            <w:r>
              <w:rPr>
                <w:rFonts w:hint="eastAsia" w:cs="宋体"/>
                <w:color w:val="auto"/>
                <w:sz w:val="21"/>
                <w:szCs w:val="21"/>
                <w:highlight w:val="none"/>
                <w:lang w:val="en-US" w:eastAsia="zh-CN"/>
              </w:rPr>
              <w:t>上</w:t>
            </w:r>
            <w:r>
              <w:rPr>
                <w:rFonts w:hint="eastAsia" w:ascii="宋体" w:hAnsi="宋体" w:eastAsia="宋体" w:cs="宋体"/>
                <w:color w:val="auto"/>
                <w:sz w:val="21"/>
                <w:szCs w:val="21"/>
                <w:highlight w:val="none"/>
              </w:rPr>
              <w:t>午</w:t>
            </w:r>
            <w:r>
              <w:rPr>
                <w:rFonts w:hint="eastAsia" w:cs="宋体"/>
                <w:color w:val="auto"/>
                <w:sz w:val="21"/>
                <w:szCs w:val="21"/>
                <w:highlight w:val="none"/>
                <w:lang w:val="en-US" w:eastAsia="zh-CN"/>
              </w:rPr>
              <w:t>9</w:t>
            </w:r>
            <w:r>
              <w:rPr>
                <w:rFonts w:hint="eastAsia" w:ascii="宋体" w:hAnsi="宋体" w:eastAsia="宋体" w:cs="宋体"/>
                <w:color w:val="auto"/>
                <w:sz w:val="21"/>
                <w:szCs w:val="21"/>
                <w:highlight w:val="none"/>
              </w:rPr>
              <w:t>时</w:t>
            </w:r>
            <w:r>
              <w:rPr>
                <w:rFonts w:hint="eastAsia" w:cs="宋体"/>
                <w:color w:val="auto"/>
                <w:sz w:val="21"/>
                <w:szCs w:val="21"/>
                <w:highlight w:val="none"/>
                <w:lang w:val="en-US" w:eastAsia="zh-CN"/>
              </w:rPr>
              <w:t>0</w:t>
            </w:r>
            <w:r>
              <w:rPr>
                <w:rFonts w:hint="eastAsia" w:ascii="宋体" w:hAnsi="宋体" w:eastAsia="宋体" w:cs="宋体"/>
                <w:color w:val="auto"/>
                <w:sz w:val="21"/>
                <w:szCs w:val="21"/>
                <w:highlight w:val="none"/>
              </w:rPr>
              <w:t>0分</w:t>
            </w:r>
          </w:p>
          <w:p w14:paraId="0034FCF0">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both"/>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开标地点：乌海市思正工程管理咨询服务有限公司会议室</w:t>
            </w:r>
          </w:p>
        </w:tc>
      </w:tr>
      <w:tr w14:paraId="268941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791" w:type="dxa"/>
            <w:vAlign w:val="center"/>
          </w:tcPr>
          <w:p w14:paraId="577C40C3">
            <w:pPr>
              <w:pStyle w:val="28"/>
              <w:spacing w:before="24" w:line="337" w:lineRule="exact"/>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8</w:t>
            </w:r>
          </w:p>
        </w:tc>
        <w:tc>
          <w:tcPr>
            <w:tcW w:w="1850" w:type="dxa"/>
            <w:shd w:val="clear" w:color="auto" w:fill="auto"/>
            <w:vAlign w:val="center"/>
          </w:tcPr>
          <w:p w14:paraId="65F4B514">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rFonts w:hint="eastAsia" w:ascii="宋体" w:hAnsi="宋体" w:eastAsia="宋体" w:cs="宋体"/>
                <w:b/>
                <w:color w:val="auto"/>
                <w:sz w:val="21"/>
                <w:szCs w:val="21"/>
                <w:highlight w:val="none"/>
              </w:rPr>
            </w:pPr>
          </w:p>
          <w:p w14:paraId="0AC508B3">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center"/>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文件数量</w:t>
            </w:r>
          </w:p>
        </w:tc>
        <w:tc>
          <w:tcPr>
            <w:tcW w:w="7262" w:type="dxa"/>
            <w:shd w:val="clear" w:color="auto" w:fill="auto"/>
            <w:vAlign w:val="center"/>
          </w:tcPr>
          <w:p w14:paraId="5FE75D82">
            <w:pPr>
              <w:pStyle w:val="28"/>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rightChars="0"/>
              <w:jc w:val="both"/>
              <w:textAlignment w:val="auto"/>
              <w:rPr>
                <w:rFonts w:hint="eastAsia" w:ascii="宋体" w:hAnsi="宋体" w:eastAsia="宋体" w:cs="宋体"/>
                <w:color w:val="auto"/>
                <w:sz w:val="21"/>
                <w:szCs w:val="21"/>
                <w:highlight w:val="none"/>
                <w:lang w:val="en-US" w:eastAsia="zh-CN" w:bidi="ar-SA"/>
              </w:rPr>
            </w:pPr>
            <w:r>
              <w:rPr>
                <w:rFonts w:hint="eastAsia" w:ascii="宋体" w:hAnsi="宋体" w:eastAsia="宋体" w:cs="宋体"/>
                <w:bCs/>
                <w:color w:val="auto"/>
                <w:sz w:val="21"/>
                <w:szCs w:val="21"/>
                <w:highlight w:val="none"/>
                <w:lang w:eastAsia="zh-CN"/>
              </w:rPr>
              <w:t>响应</w:t>
            </w:r>
            <w:r>
              <w:rPr>
                <w:rFonts w:hint="eastAsia" w:ascii="宋体" w:hAnsi="宋体" w:eastAsia="宋体" w:cs="宋体"/>
                <w:bCs/>
                <w:color w:val="auto"/>
                <w:sz w:val="21"/>
                <w:szCs w:val="21"/>
                <w:highlight w:val="none"/>
              </w:rPr>
              <w:t>文件一式叁份，其中正本一份，副本贰份，另附电子版</w:t>
            </w:r>
            <w:r>
              <w:rPr>
                <w:rFonts w:hint="eastAsia" w:ascii="宋体" w:hAnsi="宋体" w:eastAsia="宋体" w:cs="宋体"/>
                <w:bCs/>
                <w:color w:val="auto"/>
                <w:sz w:val="21"/>
                <w:szCs w:val="21"/>
                <w:highlight w:val="none"/>
                <w:lang w:eastAsia="zh-CN"/>
              </w:rPr>
              <w:t>响应</w:t>
            </w:r>
            <w:r>
              <w:rPr>
                <w:rFonts w:hint="eastAsia" w:ascii="宋体" w:hAnsi="宋体" w:eastAsia="宋体" w:cs="宋体"/>
                <w:bCs/>
                <w:color w:val="auto"/>
                <w:sz w:val="21"/>
                <w:szCs w:val="21"/>
                <w:highlight w:val="none"/>
              </w:rPr>
              <w:t>文件一份（U盘形式）。</w:t>
            </w:r>
            <w:r>
              <w:rPr>
                <w:rFonts w:hint="eastAsia" w:ascii="宋体" w:hAnsi="宋体" w:eastAsia="宋体" w:cs="宋体"/>
                <w:bCs/>
                <w:color w:val="auto"/>
                <w:sz w:val="21"/>
                <w:szCs w:val="21"/>
                <w:highlight w:val="none"/>
                <w:lang w:eastAsia="zh-CN"/>
              </w:rPr>
              <w:t>响应</w:t>
            </w:r>
            <w:r>
              <w:rPr>
                <w:rFonts w:hint="eastAsia" w:ascii="宋体" w:hAnsi="宋体" w:eastAsia="宋体" w:cs="宋体"/>
                <w:bCs/>
                <w:color w:val="auto"/>
                <w:sz w:val="21"/>
                <w:szCs w:val="21"/>
                <w:highlight w:val="none"/>
              </w:rPr>
              <w:t>文件的封套上应详细写明项目名称、项目编号、开标截止时间。</w:t>
            </w:r>
          </w:p>
        </w:tc>
      </w:tr>
      <w:tr w14:paraId="48E2E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61296BE1">
            <w:pPr>
              <w:pStyle w:val="28"/>
              <w:ind w:right="55"/>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9</w:t>
            </w:r>
          </w:p>
        </w:tc>
        <w:tc>
          <w:tcPr>
            <w:tcW w:w="1850" w:type="dxa"/>
            <w:shd w:val="clear" w:color="auto" w:fill="auto"/>
            <w:vAlign w:val="center"/>
          </w:tcPr>
          <w:p w14:paraId="6C08C1C0">
            <w:pPr>
              <w:pStyle w:val="28"/>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成交人确定</w:t>
            </w:r>
          </w:p>
        </w:tc>
        <w:tc>
          <w:tcPr>
            <w:tcW w:w="7262" w:type="dxa"/>
            <w:shd w:val="clear" w:color="auto" w:fill="auto"/>
            <w:vAlign w:val="center"/>
          </w:tcPr>
          <w:p w14:paraId="18FD1247">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采购人授权磋商小组按照评审原则直接确定中标（成交）人。</w:t>
            </w:r>
          </w:p>
        </w:tc>
      </w:tr>
      <w:tr w14:paraId="4F4DDF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8" w:hRule="atLeast"/>
          <w:jc w:val="center"/>
        </w:trPr>
        <w:tc>
          <w:tcPr>
            <w:tcW w:w="791" w:type="dxa"/>
            <w:vAlign w:val="center"/>
          </w:tcPr>
          <w:p w14:paraId="4BEDA4C7">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10</w:t>
            </w:r>
          </w:p>
        </w:tc>
        <w:tc>
          <w:tcPr>
            <w:tcW w:w="1850" w:type="dxa"/>
            <w:shd w:val="clear" w:color="auto" w:fill="auto"/>
            <w:vAlign w:val="center"/>
          </w:tcPr>
          <w:p w14:paraId="4103BBB0">
            <w:pPr>
              <w:pStyle w:val="28"/>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联合体响应</w:t>
            </w:r>
          </w:p>
        </w:tc>
        <w:tc>
          <w:tcPr>
            <w:tcW w:w="7262" w:type="dxa"/>
            <w:shd w:val="clear" w:color="auto" w:fill="auto"/>
            <w:vAlign w:val="center"/>
          </w:tcPr>
          <w:p w14:paraId="0919A00F">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包1： 不接受</w:t>
            </w:r>
          </w:p>
        </w:tc>
      </w:tr>
      <w:tr w14:paraId="564A46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1AEB42EB">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11</w:t>
            </w:r>
          </w:p>
        </w:tc>
        <w:tc>
          <w:tcPr>
            <w:tcW w:w="1850" w:type="dxa"/>
            <w:shd w:val="clear" w:color="auto" w:fill="auto"/>
            <w:vAlign w:val="center"/>
          </w:tcPr>
          <w:p w14:paraId="61497F02">
            <w:pPr>
              <w:pStyle w:val="28"/>
              <w:spacing w:before="60"/>
              <w:ind w:left="1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采购代理机构代理费</w:t>
            </w:r>
            <w:r>
              <w:rPr>
                <w:rFonts w:hint="eastAsia" w:ascii="宋体" w:hAnsi="宋体" w:eastAsia="宋体" w:cs="宋体"/>
                <w:color w:val="auto"/>
                <w:w w:val="101"/>
                <w:sz w:val="21"/>
                <w:szCs w:val="21"/>
                <w:highlight w:val="none"/>
              </w:rPr>
              <w:t>用</w:t>
            </w:r>
          </w:p>
        </w:tc>
        <w:tc>
          <w:tcPr>
            <w:tcW w:w="7262" w:type="dxa"/>
            <w:shd w:val="clear" w:color="auto" w:fill="auto"/>
            <w:vAlign w:val="center"/>
          </w:tcPr>
          <w:p w14:paraId="76A0242F">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收取</w:t>
            </w:r>
          </w:p>
        </w:tc>
      </w:tr>
      <w:tr w14:paraId="566EA6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60BEB60D">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12</w:t>
            </w:r>
          </w:p>
        </w:tc>
        <w:tc>
          <w:tcPr>
            <w:tcW w:w="1850" w:type="dxa"/>
            <w:shd w:val="clear" w:color="auto" w:fill="auto"/>
            <w:vAlign w:val="center"/>
          </w:tcPr>
          <w:p w14:paraId="5EDB2629">
            <w:pPr>
              <w:pStyle w:val="28"/>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代理费用收取方式</w:t>
            </w:r>
          </w:p>
        </w:tc>
        <w:tc>
          <w:tcPr>
            <w:tcW w:w="7262" w:type="dxa"/>
            <w:shd w:val="clear" w:color="auto" w:fill="auto"/>
            <w:vAlign w:val="center"/>
          </w:tcPr>
          <w:p w14:paraId="249B6A77">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向</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rPr>
              <w:t>收取</w:t>
            </w:r>
          </w:p>
        </w:tc>
      </w:tr>
      <w:tr w14:paraId="5A9515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5" w:hRule="atLeast"/>
          <w:jc w:val="center"/>
        </w:trPr>
        <w:tc>
          <w:tcPr>
            <w:tcW w:w="791" w:type="dxa"/>
            <w:vAlign w:val="center"/>
          </w:tcPr>
          <w:p w14:paraId="5FEDBFFF">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13</w:t>
            </w:r>
          </w:p>
        </w:tc>
        <w:tc>
          <w:tcPr>
            <w:tcW w:w="1850" w:type="dxa"/>
            <w:shd w:val="clear" w:color="auto" w:fill="auto"/>
            <w:vAlign w:val="center"/>
          </w:tcPr>
          <w:p w14:paraId="73D1F4E6">
            <w:pPr>
              <w:pStyle w:val="28"/>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代理费用收取标准</w:t>
            </w:r>
          </w:p>
        </w:tc>
        <w:tc>
          <w:tcPr>
            <w:tcW w:w="7262" w:type="dxa"/>
            <w:shd w:val="clear" w:color="auto" w:fill="auto"/>
            <w:vAlign w:val="center"/>
          </w:tcPr>
          <w:p w14:paraId="05929AF7">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代理服务费由采购人支付</w:t>
            </w:r>
            <w:r>
              <w:rPr>
                <w:rFonts w:hint="eastAsia" w:cs="宋体"/>
                <w:color w:val="auto"/>
                <w:sz w:val="21"/>
                <w:szCs w:val="21"/>
                <w:highlight w:val="none"/>
                <w:lang w:val="en-US" w:eastAsia="zh-CN"/>
              </w:rPr>
              <w:t>3</w:t>
            </w:r>
            <w:r>
              <w:rPr>
                <w:rFonts w:hint="eastAsia" w:ascii="宋体" w:hAnsi="宋体" w:eastAsia="宋体" w:cs="宋体"/>
                <w:color w:val="auto"/>
                <w:sz w:val="21"/>
                <w:szCs w:val="21"/>
                <w:highlight w:val="none"/>
              </w:rPr>
              <w:t>000元。</w:t>
            </w:r>
          </w:p>
        </w:tc>
      </w:tr>
      <w:tr w14:paraId="6EEA0B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1B7E89E6">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14</w:t>
            </w:r>
          </w:p>
        </w:tc>
        <w:tc>
          <w:tcPr>
            <w:tcW w:w="1850" w:type="dxa"/>
            <w:shd w:val="clear" w:color="auto" w:fill="auto"/>
            <w:vAlign w:val="center"/>
          </w:tcPr>
          <w:p w14:paraId="458A9B19">
            <w:pPr>
              <w:pStyle w:val="28"/>
              <w:ind w:left="100" w:leftChars="0" w:right="0" w:rightChars="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磋商保证金</w:t>
            </w:r>
          </w:p>
        </w:tc>
        <w:tc>
          <w:tcPr>
            <w:tcW w:w="7262" w:type="dxa"/>
            <w:shd w:val="clear" w:color="auto" w:fill="auto"/>
            <w:vAlign w:val="center"/>
          </w:tcPr>
          <w:p w14:paraId="3BA15FEC">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不收取</w:t>
            </w:r>
          </w:p>
        </w:tc>
      </w:tr>
      <w:tr w14:paraId="637D9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96" w:hRule="atLeast"/>
          <w:jc w:val="center"/>
        </w:trPr>
        <w:tc>
          <w:tcPr>
            <w:tcW w:w="791" w:type="dxa"/>
            <w:vAlign w:val="center"/>
          </w:tcPr>
          <w:p w14:paraId="719BE704">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15</w:t>
            </w:r>
          </w:p>
        </w:tc>
        <w:tc>
          <w:tcPr>
            <w:tcW w:w="1850" w:type="dxa"/>
            <w:shd w:val="clear" w:color="auto" w:fill="auto"/>
            <w:vAlign w:val="center"/>
          </w:tcPr>
          <w:p w14:paraId="34B7E30F">
            <w:pPr>
              <w:pStyle w:val="28"/>
              <w:spacing w:before="60"/>
              <w:ind w:left="1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响应文件签字、盖章要求</w:t>
            </w:r>
          </w:p>
        </w:tc>
        <w:tc>
          <w:tcPr>
            <w:tcW w:w="7262" w:type="dxa"/>
            <w:shd w:val="clear" w:color="auto" w:fill="auto"/>
            <w:vAlign w:val="center"/>
          </w:tcPr>
          <w:p w14:paraId="55B15460">
            <w:pPr>
              <w:pStyle w:val="28"/>
              <w:ind w:left="101" w:leftChars="0"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应由竞标人的法定代表人或其委托代理人签字和盖单位章。委托代理人签字的，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文件应附法定代表人签署的授权委托书。</w:t>
            </w:r>
            <w:r>
              <w:rPr>
                <w:rFonts w:hint="eastAsia" w:ascii="宋体" w:hAnsi="宋体" w:eastAsia="宋体" w:cs="宋体"/>
                <w:color w:val="auto"/>
                <w:sz w:val="21"/>
                <w:szCs w:val="21"/>
                <w:highlight w:val="none"/>
                <w:lang w:val="en-US" w:eastAsia="zh-CN"/>
              </w:rPr>
              <w:t>响应文件中所有承诺和声明都应由供应商加盖公章和法定代表人签字并盖章。</w:t>
            </w:r>
          </w:p>
          <w:p w14:paraId="62AF629B">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文件应尽量避免涂改、行间插字或删除。如果出现上述情况，改动之处应加盖单位章。</w:t>
            </w:r>
          </w:p>
        </w:tc>
      </w:tr>
      <w:tr w14:paraId="0B1D6B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7772C3A3">
            <w:pPr>
              <w:pStyle w:val="28"/>
              <w:spacing w:before="24"/>
              <w:ind w:left="100"/>
              <w:jc w:val="center"/>
              <w:rPr>
                <w:rFonts w:hint="eastAsia" w:ascii="宋体" w:hAnsi="宋体" w:eastAsia="宋体" w:cs="宋体"/>
                <w:color w:val="auto"/>
                <w:sz w:val="21"/>
                <w:szCs w:val="21"/>
                <w:highlight w:val="none"/>
              </w:rPr>
            </w:pPr>
            <w:r>
              <w:rPr>
                <w:rFonts w:hint="eastAsia" w:ascii="宋体" w:hAnsi="宋体" w:eastAsia="宋体" w:cs="宋体"/>
                <w:color w:val="auto"/>
                <w:w w:val="103"/>
                <w:sz w:val="21"/>
                <w:szCs w:val="21"/>
                <w:highlight w:val="none"/>
              </w:rPr>
              <w:t>16</w:t>
            </w:r>
          </w:p>
        </w:tc>
        <w:tc>
          <w:tcPr>
            <w:tcW w:w="1850" w:type="dxa"/>
            <w:shd w:val="clear" w:color="auto" w:fill="auto"/>
            <w:vAlign w:val="center"/>
          </w:tcPr>
          <w:p w14:paraId="56A07B28">
            <w:pPr>
              <w:pStyle w:val="28"/>
              <w:spacing w:before="60"/>
              <w:ind w:left="100"/>
              <w:jc w:val="center"/>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是否专门面向中小企业采购</w:t>
            </w:r>
          </w:p>
        </w:tc>
        <w:tc>
          <w:tcPr>
            <w:tcW w:w="7262" w:type="dxa"/>
            <w:shd w:val="clear" w:color="auto" w:fill="auto"/>
            <w:vAlign w:val="center"/>
          </w:tcPr>
          <w:p w14:paraId="4AC74FD7">
            <w:pPr>
              <w:pStyle w:val="28"/>
              <w:ind w:left="101" w:leftChars="0"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采购包1：</w:t>
            </w:r>
            <w:r>
              <w:rPr>
                <w:rFonts w:hint="eastAsia" w:cs="宋体"/>
                <w:color w:val="auto"/>
                <w:sz w:val="21"/>
                <w:szCs w:val="21"/>
                <w:highlight w:val="none"/>
                <w:lang w:val="en-US" w:eastAsia="zh-CN"/>
              </w:rPr>
              <w:t>专门</w:t>
            </w:r>
            <w:r>
              <w:rPr>
                <w:rFonts w:hint="eastAsia" w:ascii="宋体" w:hAnsi="宋体" w:eastAsia="宋体" w:cs="宋体"/>
                <w:color w:val="auto"/>
                <w:sz w:val="21"/>
                <w:szCs w:val="21"/>
                <w:highlight w:val="none"/>
              </w:rPr>
              <w:t>面向中小企业</w:t>
            </w:r>
            <w:r>
              <w:rPr>
                <w:rFonts w:hint="eastAsia" w:cs="宋体"/>
                <w:color w:val="auto"/>
                <w:sz w:val="21"/>
                <w:szCs w:val="21"/>
                <w:highlight w:val="none"/>
                <w:lang w:eastAsia="zh-CN"/>
              </w:rPr>
              <w:t>。</w:t>
            </w:r>
          </w:p>
        </w:tc>
      </w:tr>
      <w:tr w14:paraId="69A2F4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27" w:hRule="atLeast"/>
          <w:jc w:val="center"/>
        </w:trPr>
        <w:tc>
          <w:tcPr>
            <w:tcW w:w="791" w:type="dxa"/>
            <w:vAlign w:val="center"/>
          </w:tcPr>
          <w:p w14:paraId="5D4FEEA0">
            <w:pPr>
              <w:pStyle w:val="28"/>
              <w:ind w:left="100"/>
              <w:jc w:val="center"/>
              <w:rPr>
                <w:rFonts w:hint="eastAsia" w:ascii="宋体" w:hAnsi="宋体" w:eastAsia="宋体" w:cs="宋体"/>
                <w:color w:val="auto"/>
                <w:w w:val="103"/>
                <w:sz w:val="21"/>
                <w:szCs w:val="21"/>
                <w:highlight w:val="none"/>
                <w:lang w:eastAsia="zh-CN"/>
              </w:rPr>
            </w:pPr>
            <w:r>
              <w:rPr>
                <w:rFonts w:hint="eastAsia" w:ascii="宋体" w:hAnsi="宋体" w:eastAsia="宋体" w:cs="宋体"/>
                <w:color w:val="auto"/>
                <w:w w:val="103"/>
                <w:sz w:val="21"/>
                <w:szCs w:val="21"/>
                <w:highlight w:val="none"/>
              </w:rPr>
              <w:t>1</w:t>
            </w:r>
            <w:r>
              <w:rPr>
                <w:rFonts w:hint="eastAsia" w:ascii="宋体" w:hAnsi="宋体" w:eastAsia="宋体" w:cs="宋体"/>
                <w:color w:val="auto"/>
                <w:w w:val="103"/>
                <w:sz w:val="21"/>
                <w:szCs w:val="21"/>
                <w:highlight w:val="none"/>
                <w:lang w:val="en-US" w:eastAsia="zh-CN"/>
              </w:rPr>
              <w:t>7</w:t>
            </w:r>
          </w:p>
        </w:tc>
        <w:tc>
          <w:tcPr>
            <w:tcW w:w="1850" w:type="dxa"/>
            <w:shd w:val="clear" w:color="auto" w:fill="auto"/>
            <w:vAlign w:val="center"/>
          </w:tcPr>
          <w:p w14:paraId="3F01DBB2">
            <w:pPr>
              <w:pStyle w:val="28"/>
              <w:ind w:left="100" w:leftChars="0"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有效供应商家数</w:t>
            </w:r>
          </w:p>
        </w:tc>
        <w:tc>
          <w:tcPr>
            <w:tcW w:w="7262" w:type="dxa"/>
            <w:shd w:val="clear" w:color="auto" w:fill="auto"/>
            <w:vAlign w:val="center"/>
          </w:tcPr>
          <w:p w14:paraId="6A7199AD">
            <w:pPr>
              <w:pStyle w:val="28"/>
              <w:spacing w:before="24"/>
              <w:ind w:left="101"/>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包1：3</w:t>
            </w:r>
          </w:p>
          <w:p w14:paraId="779BBE9A">
            <w:pPr>
              <w:pStyle w:val="28"/>
              <w:spacing w:before="52"/>
              <w:ind w:left="101"/>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此数约定了开标与评标过程中的最低有效供应商家数，当家数不足时项目将不得开标、评标或直接废标；文件中其他描述若与此规定矛盾以此为准。</w:t>
            </w:r>
          </w:p>
        </w:tc>
      </w:tr>
      <w:tr w14:paraId="3AD533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1EDD71C0">
            <w:pPr>
              <w:pStyle w:val="28"/>
              <w:spacing w:before="15" w:line="337" w:lineRule="exact"/>
              <w:ind w:left="100" w:leftChars="0" w:right="0" w:rightChars="0"/>
              <w:jc w:val="center"/>
              <w:rPr>
                <w:rFonts w:hint="default" w:ascii="宋体" w:hAnsi="宋体" w:eastAsia="宋体" w:cs="宋体"/>
                <w:color w:val="auto"/>
                <w:w w:val="103"/>
                <w:sz w:val="21"/>
                <w:szCs w:val="21"/>
                <w:highlight w:val="none"/>
                <w:lang w:val="en-US" w:eastAsia="zh-CN"/>
              </w:rPr>
            </w:pPr>
            <w:r>
              <w:rPr>
                <w:rFonts w:hint="eastAsia" w:cs="宋体"/>
                <w:color w:val="auto"/>
                <w:w w:val="103"/>
                <w:sz w:val="21"/>
                <w:szCs w:val="21"/>
                <w:highlight w:val="none"/>
                <w:lang w:val="en-US" w:eastAsia="zh-CN"/>
              </w:rPr>
              <w:t>18</w:t>
            </w:r>
          </w:p>
        </w:tc>
        <w:tc>
          <w:tcPr>
            <w:tcW w:w="1850" w:type="dxa"/>
            <w:shd w:val="clear" w:color="auto" w:fill="auto"/>
            <w:vAlign w:val="center"/>
          </w:tcPr>
          <w:p w14:paraId="7F4C5896">
            <w:pPr>
              <w:pStyle w:val="28"/>
              <w:ind w:left="100" w:leftChars="0"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形式</w:t>
            </w:r>
          </w:p>
        </w:tc>
        <w:tc>
          <w:tcPr>
            <w:tcW w:w="7262" w:type="dxa"/>
            <w:shd w:val="clear" w:color="auto" w:fill="auto"/>
            <w:vAlign w:val="center"/>
          </w:tcPr>
          <w:p w14:paraId="0950C950">
            <w:pPr>
              <w:pStyle w:val="28"/>
              <w:ind w:left="101" w:leftChars="0"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合同包1（</w:t>
            </w:r>
            <w:r>
              <w:rPr>
                <w:rFonts w:hint="eastAsia" w:cs="宋体"/>
                <w:color w:val="auto"/>
                <w:sz w:val="21"/>
                <w:szCs w:val="21"/>
                <w:highlight w:val="none"/>
                <w:lang w:eastAsia="zh-CN"/>
              </w:rPr>
              <w:t>2022年-2024年巡游出租车运营成本、浮桥通行成本监审（调查）项目</w:t>
            </w:r>
            <w:r>
              <w:rPr>
                <w:rFonts w:hint="eastAsia" w:ascii="宋体" w:hAnsi="宋体" w:eastAsia="宋体" w:cs="宋体"/>
                <w:color w:val="auto"/>
                <w:sz w:val="21"/>
                <w:szCs w:val="21"/>
                <w:highlight w:val="none"/>
              </w:rPr>
              <w:t>）:总价</w:t>
            </w:r>
          </w:p>
        </w:tc>
      </w:tr>
      <w:tr w14:paraId="5DB707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76522E52">
            <w:pPr>
              <w:pStyle w:val="28"/>
              <w:spacing w:before="15" w:line="337" w:lineRule="exact"/>
              <w:ind w:left="100" w:leftChars="0" w:right="0" w:rightChars="0"/>
              <w:jc w:val="center"/>
              <w:rPr>
                <w:rFonts w:hint="eastAsia" w:cs="宋体"/>
                <w:color w:val="auto"/>
                <w:w w:val="103"/>
                <w:sz w:val="21"/>
                <w:szCs w:val="21"/>
                <w:highlight w:val="none"/>
                <w:lang w:val="en-US" w:eastAsia="zh-CN"/>
              </w:rPr>
            </w:pPr>
            <w:r>
              <w:rPr>
                <w:rFonts w:hint="eastAsia" w:cs="宋体"/>
                <w:color w:val="auto"/>
                <w:w w:val="103"/>
                <w:sz w:val="21"/>
                <w:szCs w:val="21"/>
                <w:highlight w:val="none"/>
                <w:lang w:val="en-US" w:eastAsia="zh-CN"/>
              </w:rPr>
              <w:t>19</w:t>
            </w:r>
          </w:p>
        </w:tc>
        <w:tc>
          <w:tcPr>
            <w:tcW w:w="1850" w:type="dxa"/>
            <w:shd w:val="clear" w:color="auto" w:fill="auto"/>
            <w:vAlign w:val="center"/>
          </w:tcPr>
          <w:p w14:paraId="578C425B">
            <w:pPr>
              <w:pStyle w:val="28"/>
              <w:spacing w:before="11"/>
              <w:ind w:left="0" w:leftChars="0" w:right="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b w:val="0"/>
                <w:bCs/>
                <w:color w:val="auto"/>
                <w:sz w:val="21"/>
                <w:szCs w:val="21"/>
                <w:highlight w:val="none"/>
              </w:rPr>
              <w:t>现场考察</w:t>
            </w:r>
          </w:p>
        </w:tc>
        <w:tc>
          <w:tcPr>
            <w:tcW w:w="7262" w:type="dxa"/>
            <w:shd w:val="clear" w:color="auto" w:fill="auto"/>
            <w:vAlign w:val="center"/>
          </w:tcPr>
          <w:p w14:paraId="7684B629">
            <w:pPr>
              <w:pStyle w:val="28"/>
              <w:spacing w:before="11"/>
              <w:ind w:left="0" w:leftChars="0" w:right="0" w:rightChars="0"/>
              <w:jc w:val="both"/>
              <w:rPr>
                <w:rFonts w:hint="eastAsia" w:ascii="宋体" w:hAnsi="宋体" w:eastAsia="宋体" w:cs="宋体"/>
                <w:color w:val="auto"/>
                <w:sz w:val="21"/>
                <w:szCs w:val="21"/>
                <w:highlight w:val="none"/>
              </w:rPr>
            </w:pPr>
            <w:r>
              <w:rPr>
                <w:rFonts w:hint="eastAsia" w:ascii="宋体" w:hAnsi="宋体" w:eastAsia="宋体" w:cs="宋体"/>
                <w:b w:val="0"/>
                <w:bCs/>
                <w:color w:val="auto"/>
                <w:sz w:val="21"/>
                <w:szCs w:val="21"/>
                <w:highlight w:val="none"/>
                <w:lang w:val="en-US" w:eastAsia="zh-CN"/>
              </w:rPr>
              <w:t>否</w:t>
            </w:r>
          </w:p>
        </w:tc>
      </w:tr>
      <w:tr w14:paraId="684A3A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791" w:type="dxa"/>
            <w:vAlign w:val="center"/>
          </w:tcPr>
          <w:p w14:paraId="5BBB33C1">
            <w:pPr>
              <w:pStyle w:val="28"/>
              <w:spacing w:before="15" w:line="337" w:lineRule="exact"/>
              <w:ind w:left="100" w:leftChars="0" w:right="0" w:rightChars="0"/>
              <w:jc w:val="center"/>
              <w:rPr>
                <w:rFonts w:hint="eastAsia" w:cs="宋体"/>
                <w:color w:val="auto"/>
                <w:w w:val="103"/>
                <w:sz w:val="21"/>
                <w:szCs w:val="21"/>
                <w:highlight w:val="none"/>
                <w:lang w:val="en-US" w:eastAsia="zh-CN"/>
              </w:rPr>
            </w:pPr>
            <w:r>
              <w:rPr>
                <w:rFonts w:hint="eastAsia" w:cs="宋体"/>
                <w:color w:val="auto"/>
                <w:w w:val="103"/>
                <w:sz w:val="21"/>
                <w:szCs w:val="21"/>
                <w:highlight w:val="none"/>
                <w:lang w:val="en-US" w:eastAsia="zh-CN"/>
              </w:rPr>
              <w:t>20</w:t>
            </w:r>
          </w:p>
        </w:tc>
        <w:tc>
          <w:tcPr>
            <w:tcW w:w="1850" w:type="dxa"/>
            <w:shd w:val="clear" w:color="auto" w:fill="auto"/>
            <w:vAlign w:val="center"/>
          </w:tcPr>
          <w:p w14:paraId="7DEFC08F">
            <w:pPr>
              <w:pStyle w:val="28"/>
              <w:spacing w:before="11"/>
              <w:ind w:left="0" w:leftChars="0" w:right="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b w:val="0"/>
                <w:bCs/>
                <w:color w:val="auto"/>
                <w:sz w:val="21"/>
                <w:szCs w:val="21"/>
                <w:highlight w:val="none"/>
              </w:rPr>
              <w:t>其他</w:t>
            </w:r>
          </w:p>
        </w:tc>
        <w:tc>
          <w:tcPr>
            <w:tcW w:w="7262" w:type="dxa"/>
            <w:shd w:val="clear" w:color="auto" w:fill="auto"/>
            <w:vAlign w:val="center"/>
          </w:tcPr>
          <w:p w14:paraId="3C5F277B">
            <w:pPr>
              <w:pStyle w:val="28"/>
              <w:spacing w:before="11"/>
              <w:ind w:left="0" w:leftChars="0" w:right="0" w:rightChars="0"/>
              <w:jc w:val="both"/>
              <w:rPr>
                <w:rFonts w:hint="eastAsia" w:ascii="宋体" w:hAnsi="宋体" w:eastAsia="宋体" w:cs="宋体"/>
                <w:color w:val="auto"/>
                <w:sz w:val="21"/>
                <w:szCs w:val="21"/>
                <w:highlight w:val="none"/>
              </w:rPr>
            </w:pPr>
            <w:r>
              <w:rPr>
                <w:rFonts w:hint="eastAsia" w:ascii="宋体" w:hAnsi="宋体" w:eastAsia="宋体" w:cs="宋体"/>
                <w:b w:val="0"/>
                <w:bCs/>
                <w:color w:val="auto"/>
                <w:sz w:val="21"/>
                <w:szCs w:val="21"/>
                <w:highlight w:val="none"/>
                <w:lang w:val="en-US" w:eastAsia="zh-CN"/>
              </w:rPr>
              <w:t>兼投兼中：-</w:t>
            </w:r>
          </w:p>
        </w:tc>
      </w:tr>
    </w:tbl>
    <w:p w14:paraId="6DBCBD36">
      <w:pPr>
        <w:pStyle w:val="4"/>
        <w:spacing w:before="70"/>
        <w:ind w:left="532"/>
        <w:rPr>
          <w:color w:val="auto"/>
          <w:w w:val="110"/>
          <w:highlight w:val="none"/>
        </w:rPr>
      </w:pPr>
    </w:p>
    <w:p w14:paraId="31D15D7D">
      <w:pPr>
        <w:pStyle w:val="4"/>
        <w:spacing w:before="70"/>
        <w:ind w:left="532"/>
        <w:rPr>
          <w:color w:val="auto"/>
          <w:w w:val="110"/>
          <w:highlight w:val="none"/>
        </w:rPr>
      </w:pPr>
    </w:p>
    <w:p w14:paraId="57DA3E5C">
      <w:pPr>
        <w:pStyle w:val="9"/>
        <w:spacing w:before="8"/>
        <w:ind w:left="0"/>
        <w:rPr>
          <w:b/>
          <w:color w:val="auto"/>
          <w:sz w:val="10"/>
          <w:highlight w:val="none"/>
        </w:rPr>
      </w:pPr>
    </w:p>
    <w:p w14:paraId="25C07C36">
      <w:pPr>
        <w:spacing w:after="0"/>
        <w:rPr>
          <w:color w:val="auto"/>
          <w:sz w:val="19"/>
          <w:highlight w:val="none"/>
        </w:rPr>
        <w:sectPr>
          <w:headerReference r:id="rId7" w:type="default"/>
          <w:footerReference r:id="rId8" w:type="default"/>
          <w:pgSz w:w="11900" w:h="16840"/>
          <w:pgMar w:top="1599" w:right="1259" w:bottom="1599" w:left="1259" w:header="720" w:footer="91" w:gutter="0"/>
          <w:pgNumType w:fmt="decimal"/>
          <w:cols w:space="0" w:num="1"/>
          <w:rtlGutter w:val="0"/>
          <w:docGrid w:linePitch="0" w:charSpace="0"/>
        </w:sectPr>
      </w:pPr>
    </w:p>
    <w:p w14:paraId="6374C312">
      <w:pPr>
        <w:pStyle w:val="9"/>
        <w:spacing w:before="8" w:line="360" w:lineRule="auto"/>
        <w:ind w:left="0"/>
        <w:rPr>
          <w:rFonts w:hint="default" w:eastAsia="宋体"/>
          <w:b/>
          <w:color w:val="auto"/>
          <w:sz w:val="24"/>
          <w:szCs w:val="28"/>
          <w:highlight w:val="none"/>
          <w:lang w:val="en-US" w:eastAsia="zh-CN"/>
        </w:rPr>
      </w:pPr>
      <w:r>
        <w:rPr>
          <w:rFonts w:hint="eastAsia"/>
          <w:b/>
          <w:color w:val="auto"/>
          <w:sz w:val="24"/>
          <w:szCs w:val="28"/>
          <w:highlight w:val="none"/>
          <w:lang w:val="en-US" w:eastAsia="zh-CN"/>
        </w:rPr>
        <w:t>二、说明</w:t>
      </w:r>
    </w:p>
    <w:p w14:paraId="093AAE90">
      <w:pPr>
        <w:pStyle w:val="27"/>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6"/>
          <w:sz w:val="24"/>
          <w:szCs w:val="24"/>
          <w:highlight w:val="none"/>
          <w:lang w:val="en-US" w:eastAsia="zh-CN"/>
        </w:rPr>
        <w:t>1、</w:t>
      </w:r>
      <w:r>
        <w:rPr>
          <w:rFonts w:hint="eastAsia" w:ascii="宋体" w:hAnsi="宋体" w:eastAsia="宋体" w:cs="宋体"/>
          <w:b/>
          <w:color w:val="auto"/>
          <w:spacing w:val="6"/>
          <w:sz w:val="24"/>
          <w:szCs w:val="24"/>
          <w:highlight w:val="none"/>
        </w:rPr>
        <w:t>总则</w:t>
      </w:r>
    </w:p>
    <w:p w14:paraId="75D80AE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本磋商文件依据《中华人民共和国政府采购法》《中华人民共和国政府采购法实施条例》和《政府采购竞争性磋商采购方式管理暂行办法》及国家和自治区有关法律、法规、规章制度编制。</w:t>
      </w:r>
    </w:p>
    <w:p w14:paraId="77F3363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供应商应仔细阅读本项目信息公告及磋商文件的所有内容（包括澄清或者修改），按照磋商文件要求以及格式编制响应文件，并保证其真实性，否则一切后果自负。</w:t>
      </w:r>
    </w:p>
    <w:p w14:paraId="0BA6C640">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39" w:name="_Toc17324"/>
      <w:bookmarkStart w:id="40" w:name="_Toc29704"/>
      <w:bookmarkStart w:id="41" w:name="_Toc12450"/>
      <w:bookmarkStart w:id="42" w:name="_Toc2090"/>
      <w:bookmarkStart w:id="43" w:name="_Toc4417"/>
      <w:r>
        <w:rPr>
          <w:rFonts w:hint="eastAsia" w:ascii="宋体" w:hAnsi="宋体" w:eastAsia="宋体" w:cs="宋体"/>
          <w:color w:val="auto"/>
          <w:spacing w:val="8"/>
          <w:sz w:val="24"/>
          <w:szCs w:val="24"/>
          <w:highlight w:val="none"/>
          <w:lang w:val="en-US" w:eastAsia="zh-CN"/>
        </w:rPr>
        <w:t>2、</w:t>
      </w:r>
      <w:r>
        <w:rPr>
          <w:rFonts w:hint="eastAsia" w:ascii="宋体" w:hAnsi="宋体" w:eastAsia="宋体" w:cs="宋体"/>
          <w:color w:val="auto"/>
          <w:spacing w:val="8"/>
          <w:sz w:val="24"/>
          <w:szCs w:val="24"/>
          <w:highlight w:val="none"/>
        </w:rPr>
        <w:t>适用范围</w:t>
      </w:r>
      <w:bookmarkEnd w:id="39"/>
      <w:bookmarkEnd w:id="40"/>
      <w:bookmarkEnd w:id="41"/>
      <w:bookmarkEnd w:id="42"/>
      <w:bookmarkEnd w:id="43"/>
    </w:p>
    <w:p w14:paraId="135A3CC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本磋商文件仅适用于本次竞争性磋商公告中所涉及的项目和内容。</w:t>
      </w:r>
    </w:p>
    <w:p w14:paraId="5355806C">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44" w:name="_Toc13085"/>
      <w:bookmarkStart w:id="45" w:name="_Toc24103"/>
      <w:bookmarkStart w:id="46" w:name="_Toc13821"/>
      <w:bookmarkStart w:id="47" w:name="_Toc29502"/>
      <w:bookmarkStart w:id="48" w:name="_Toc28337"/>
      <w:r>
        <w:rPr>
          <w:rFonts w:hint="eastAsia" w:ascii="宋体" w:hAnsi="宋体" w:eastAsia="宋体" w:cs="宋体"/>
          <w:color w:val="auto"/>
          <w:spacing w:val="8"/>
          <w:sz w:val="24"/>
          <w:szCs w:val="24"/>
          <w:highlight w:val="none"/>
          <w:lang w:val="en-US" w:eastAsia="zh-CN"/>
        </w:rPr>
        <w:t>3、</w:t>
      </w:r>
      <w:r>
        <w:rPr>
          <w:rFonts w:hint="eastAsia" w:ascii="宋体" w:hAnsi="宋体" w:eastAsia="宋体" w:cs="宋体"/>
          <w:color w:val="auto"/>
          <w:spacing w:val="8"/>
          <w:sz w:val="24"/>
          <w:szCs w:val="24"/>
          <w:highlight w:val="none"/>
        </w:rPr>
        <w:t>相关费用</w:t>
      </w:r>
      <w:bookmarkEnd w:id="44"/>
      <w:bookmarkEnd w:id="45"/>
      <w:bookmarkEnd w:id="46"/>
      <w:bookmarkEnd w:id="47"/>
      <w:bookmarkEnd w:id="48"/>
    </w:p>
    <w:p w14:paraId="685DF52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供应商应自行承担所有与准备、参加磋商有关的费用。不论磋商结果如何，采购人或采购代理机构均无义务和责任承担相关费用。</w:t>
      </w:r>
    </w:p>
    <w:p w14:paraId="36018773">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49" w:name="_Toc11101"/>
      <w:bookmarkStart w:id="50" w:name="_Toc1997"/>
      <w:bookmarkStart w:id="51" w:name="_Toc9968"/>
      <w:bookmarkStart w:id="52" w:name="_Toc4920"/>
      <w:bookmarkStart w:id="53" w:name="_Toc24586"/>
      <w:r>
        <w:rPr>
          <w:rFonts w:hint="eastAsia" w:ascii="宋体" w:hAnsi="宋体" w:eastAsia="宋体" w:cs="宋体"/>
          <w:color w:val="auto"/>
          <w:spacing w:val="8"/>
          <w:sz w:val="24"/>
          <w:szCs w:val="24"/>
          <w:highlight w:val="none"/>
          <w:lang w:val="en-US" w:eastAsia="zh-CN"/>
        </w:rPr>
        <w:t>4、</w:t>
      </w:r>
      <w:r>
        <w:rPr>
          <w:rFonts w:hint="eastAsia" w:ascii="宋体" w:hAnsi="宋体" w:eastAsia="宋体" w:cs="宋体"/>
          <w:color w:val="auto"/>
          <w:spacing w:val="8"/>
          <w:sz w:val="24"/>
          <w:szCs w:val="24"/>
          <w:highlight w:val="none"/>
        </w:rPr>
        <w:t>各参与方</w:t>
      </w:r>
      <w:bookmarkEnd w:id="49"/>
      <w:bookmarkEnd w:id="50"/>
      <w:bookmarkEnd w:id="51"/>
      <w:bookmarkEnd w:id="52"/>
      <w:bookmarkEnd w:id="53"/>
    </w:p>
    <w:p w14:paraId="3CCB2752">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64"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lang w:val="en-US" w:eastAsia="zh-CN"/>
        </w:rPr>
        <w:t>4.1</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采购人</w:t>
      </w:r>
      <w:r>
        <w:rPr>
          <w:rFonts w:hint="eastAsia" w:ascii="宋体" w:hAnsi="宋体" w:eastAsia="宋体" w:cs="宋体"/>
          <w:color w:val="auto"/>
          <w:spacing w:val="-4"/>
          <w:sz w:val="24"/>
          <w:szCs w:val="24"/>
          <w:highlight w:val="none"/>
        </w:rPr>
        <w:t>”</w:t>
      </w:r>
      <w:r>
        <w:rPr>
          <w:rFonts w:hint="eastAsia" w:ascii="宋体" w:hAnsi="宋体" w:eastAsia="宋体" w:cs="宋体"/>
          <w:color w:val="auto"/>
          <w:spacing w:val="-1"/>
          <w:sz w:val="24"/>
          <w:szCs w:val="24"/>
          <w:highlight w:val="none"/>
        </w:rPr>
        <w:t>是指依法进行政府采购的国家机关、事业单位、团体组织。本磋商文件的采购人特指</w:t>
      </w:r>
      <w:r>
        <w:rPr>
          <w:rFonts w:hint="eastAsia" w:cs="宋体"/>
          <w:color w:val="auto"/>
          <w:spacing w:val="-1"/>
          <w:sz w:val="24"/>
          <w:szCs w:val="24"/>
          <w:highlight w:val="none"/>
          <w:lang w:eastAsia="zh-CN"/>
        </w:rPr>
        <w:t>乌海市发展和改革委员会</w:t>
      </w:r>
      <w:r>
        <w:rPr>
          <w:rFonts w:hint="eastAsia" w:ascii="宋体" w:hAnsi="宋体" w:eastAsia="宋体" w:cs="宋体"/>
          <w:color w:val="auto"/>
          <w:sz w:val="24"/>
          <w:szCs w:val="24"/>
          <w:highlight w:val="none"/>
        </w:rPr>
        <w:t>。</w:t>
      </w:r>
    </w:p>
    <w:p w14:paraId="28F71C10">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leftChars="0" w:right="0" w:rightChars="0" w:firstLine="464"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lang w:val="en-US" w:eastAsia="zh-CN"/>
        </w:rPr>
        <w:t>4.2</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采购代理机构</w:t>
      </w:r>
      <w:r>
        <w:rPr>
          <w:rFonts w:hint="eastAsia" w:ascii="宋体" w:hAnsi="宋体" w:eastAsia="宋体" w:cs="宋体"/>
          <w:color w:val="auto"/>
          <w:spacing w:val="-4"/>
          <w:sz w:val="24"/>
          <w:szCs w:val="24"/>
          <w:highlight w:val="none"/>
        </w:rPr>
        <w:t>”</w:t>
      </w:r>
      <w:r>
        <w:rPr>
          <w:rFonts w:hint="eastAsia" w:ascii="宋体" w:hAnsi="宋体" w:eastAsia="宋体" w:cs="宋体"/>
          <w:color w:val="auto"/>
          <w:spacing w:val="-1"/>
          <w:sz w:val="24"/>
          <w:szCs w:val="24"/>
          <w:highlight w:val="none"/>
        </w:rPr>
        <w:t>是指集中采购机构和集中采购机构以外的采购代理机构。本磋商文件的采购代理机构特指</w:t>
      </w:r>
      <w:r>
        <w:rPr>
          <w:rFonts w:hint="eastAsia" w:ascii="宋体" w:hAnsi="宋体" w:eastAsia="宋体" w:cs="宋体"/>
          <w:color w:val="auto"/>
          <w:spacing w:val="-1"/>
          <w:sz w:val="24"/>
          <w:szCs w:val="24"/>
          <w:highlight w:val="none"/>
          <w:lang w:eastAsia="zh-CN"/>
        </w:rPr>
        <w:t>乌海市思正工程管理咨询服务有限公司</w:t>
      </w:r>
      <w:r>
        <w:rPr>
          <w:rFonts w:hint="eastAsia" w:ascii="宋体" w:hAnsi="宋体" w:eastAsia="宋体" w:cs="宋体"/>
          <w:color w:val="auto"/>
          <w:sz w:val="24"/>
          <w:szCs w:val="24"/>
          <w:highlight w:val="none"/>
        </w:rPr>
        <w:t>。</w:t>
      </w:r>
    </w:p>
    <w:p w14:paraId="0A61625F">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64"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lang w:val="en-US" w:eastAsia="zh-CN"/>
        </w:rPr>
        <w:t>4.3</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供应商</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是指向采购人提供货物、工程或者服务的法人、其他组织或者自然人。</w:t>
      </w:r>
    </w:p>
    <w:p w14:paraId="1977A327">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64"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lang w:val="en-US" w:eastAsia="zh-CN"/>
        </w:rPr>
        <w:t>4.4</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磋商小组</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由采购人代表和评审专家组成。</w:t>
      </w:r>
    </w:p>
    <w:p w14:paraId="5F6484D2">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leftChars="0" w:right="0" w:rightChars="0" w:firstLine="464"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4"/>
          <w:sz w:val="24"/>
          <w:szCs w:val="24"/>
          <w:highlight w:val="none"/>
          <w:lang w:val="en-US" w:eastAsia="zh-CN"/>
        </w:rPr>
        <w:t>4.5</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成交供应商</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是指取得与采购人签订合同资格的供应商。</w:t>
      </w:r>
    </w:p>
    <w:p w14:paraId="1AB56CE4">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22" w:firstLineChars="200"/>
        <w:jc w:val="left"/>
        <w:textAlignment w:val="auto"/>
        <w:rPr>
          <w:rFonts w:hint="eastAsia" w:ascii="宋体" w:hAnsi="宋体" w:eastAsia="宋体" w:cs="宋体"/>
          <w:color w:val="auto"/>
          <w:sz w:val="24"/>
          <w:szCs w:val="24"/>
          <w:highlight w:val="none"/>
        </w:rPr>
      </w:pPr>
      <w:bookmarkStart w:id="54" w:name="_Toc19249"/>
      <w:bookmarkStart w:id="55" w:name="_Toc27159"/>
      <w:bookmarkStart w:id="56" w:name="_Toc20984"/>
      <w:bookmarkStart w:id="57" w:name="_Toc16890"/>
      <w:bookmarkStart w:id="58" w:name="_Toc30372"/>
      <w:r>
        <w:rPr>
          <w:rFonts w:hint="eastAsia" w:ascii="宋体" w:hAnsi="宋体" w:eastAsia="宋体" w:cs="宋体"/>
          <w:color w:val="auto"/>
          <w:spacing w:val="10"/>
          <w:sz w:val="24"/>
          <w:szCs w:val="24"/>
          <w:highlight w:val="none"/>
          <w:lang w:val="en-US" w:eastAsia="zh-CN"/>
        </w:rPr>
        <w:t>5、</w:t>
      </w:r>
      <w:r>
        <w:rPr>
          <w:rFonts w:hint="eastAsia" w:ascii="宋体" w:hAnsi="宋体" w:eastAsia="宋体" w:cs="宋体"/>
          <w:color w:val="auto"/>
          <w:spacing w:val="10"/>
          <w:sz w:val="24"/>
          <w:szCs w:val="24"/>
          <w:highlight w:val="none"/>
        </w:rPr>
        <w:t>合格的供应商</w:t>
      </w:r>
      <w:bookmarkEnd w:id="54"/>
      <w:bookmarkEnd w:id="55"/>
      <w:bookmarkEnd w:id="56"/>
      <w:bookmarkEnd w:id="57"/>
      <w:bookmarkEnd w:id="58"/>
    </w:p>
    <w:p w14:paraId="3C3A512D">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5.1</w:t>
      </w:r>
      <w:r>
        <w:rPr>
          <w:rFonts w:hint="eastAsia" w:ascii="宋体" w:hAnsi="宋体" w:eastAsia="宋体" w:cs="宋体"/>
          <w:color w:val="auto"/>
          <w:sz w:val="24"/>
          <w:szCs w:val="24"/>
          <w:highlight w:val="none"/>
        </w:rPr>
        <w:t>符合本磋商文件规定的资格要求，并按照要求提供相关证明材料。</w:t>
      </w:r>
    </w:p>
    <w:p w14:paraId="08E19D47">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5.2</w:t>
      </w:r>
      <w:r>
        <w:rPr>
          <w:rFonts w:hint="eastAsia" w:ascii="宋体" w:hAnsi="宋体" w:eastAsia="宋体" w:cs="宋体"/>
          <w:color w:val="auto"/>
          <w:sz w:val="24"/>
          <w:szCs w:val="24"/>
          <w:highlight w:val="none"/>
        </w:rPr>
        <w:t>单位负责人为同一人或者存在直接控股、管理关系的不同供应商，不得参加同一合同项下的政府采购活动。</w:t>
      </w:r>
    </w:p>
    <w:p w14:paraId="0F342FA9">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5.3</w:t>
      </w:r>
      <w:r>
        <w:rPr>
          <w:rFonts w:hint="eastAsia" w:ascii="宋体" w:hAnsi="宋体" w:eastAsia="宋体" w:cs="宋体"/>
          <w:color w:val="auto"/>
          <w:spacing w:val="-1"/>
          <w:sz w:val="24"/>
          <w:szCs w:val="24"/>
          <w:highlight w:val="none"/>
        </w:rPr>
        <w:t>为采购项目提供整体设计、规范编制或者项目管理、监理、检测等服务的供应商，不得再参加该采购项目的其他采购</w:t>
      </w:r>
      <w:r>
        <w:rPr>
          <w:rFonts w:hint="eastAsia" w:ascii="宋体" w:hAnsi="宋体" w:eastAsia="宋体" w:cs="宋体"/>
          <w:color w:val="auto"/>
          <w:sz w:val="24"/>
          <w:szCs w:val="24"/>
          <w:highlight w:val="none"/>
        </w:rPr>
        <w:t>活动。</w:t>
      </w:r>
    </w:p>
    <w:p w14:paraId="1BF9212D">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26" w:firstLineChars="200"/>
        <w:jc w:val="left"/>
        <w:textAlignment w:val="auto"/>
        <w:rPr>
          <w:rFonts w:hint="eastAsia" w:ascii="宋体" w:hAnsi="宋体" w:eastAsia="宋体" w:cs="宋体"/>
          <w:color w:val="auto"/>
          <w:sz w:val="24"/>
          <w:szCs w:val="24"/>
          <w:highlight w:val="none"/>
        </w:rPr>
      </w:pPr>
      <w:bookmarkStart w:id="59" w:name="_Toc17738"/>
      <w:bookmarkStart w:id="60" w:name="_Toc15179"/>
      <w:bookmarkStart w:id="61" w:name="_Toc13938"/>
      <w:bookmarkStart w:id="62" w:name="_Toc19425"/>
      <w:bookmarkStart w:id="63" w:name="_Toc32012"/>
      <w:r>
        <w:rPr>
          <w:rFonts w:hint="eastAsia" w:ascii="宋体" w:hAnsi="宋体" w:eastAsia="宋体" w:cs="宋体"/>
          <w:color w:val="auto"/>
          <w:spacing w:val="11"/>
          <w:sz w:val="24"/>
          <w:szCs w:val="24"/>
          <w:highlight w:val="none"/>
          <w:lang w:val="en-US" w:eastAsia="zh-CN"/>
        </w:rPr>
        <w:t>6、</w:t>
      </w:r>
      <w:r>
        <w:rPr>
          <w:rFonts w:hint="eastAsia" w:ascii="宋体" w:hAnsi="宋体" w:eastAsia="宋体" w:cs="宋体"/>
          <w:color w:val="auto"/>
          <w:spacing w:val="11"/>
          <w:sz w:val="24"/>
          <w:szCs w:val="24"/>
          <w:highlight w:val="none"/>
        </w:rPr>
        <w:t>以联合体形式进行政府采购的，应符合以下规定：</w:t>
      </w:r>
      <w:bookmarkEnd w:id="59"/>
      <w:bookmarkEnd w:id="60"/>
      <w:bookmarkEnd w:id="61"/>
      <w:bookmarkEnd w:id="62"/>
      <w:bookmarkEnd w:id="63"/>
    </w:p>
    <w:p w14:paraId="15DBDAC6">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6.1</w:t>
      </w:r>
      <w:r>
        <w:rPr>
          <w:rFonts w:hint="eastAsia" w:ascii="宋体" w:hAnsi="宋体" w:eastAsia="宋体" w:cs="宋体"/>
          <w:color w:val="auto"/>
          <w:sz w:val="24"/>
          <w:szCs w:val="24"/>
          <w:highlight w:val="none"/>
        </w:rPr>
        <w:t>联合体各方应签订联合体协议书，明确联合体牵头人和各方权利义务，并作为响应文件组成部分。</w:t>
      </w:r>
    </w:p>
    <w:p w14:paraId="2B375B56">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6.2</w:t>
      </w:r>
      <w:r>
        <w:rPr>
          <w:rFonts w:hint="eastAsia" w:ascii="宋体" w:hAnsi="宋体" w:eastAsia="宋体" w:cs="宋体"/>
          <w:color w:val="auto"/>
          <w:spacing w:val="-1"/>
          <w:sz w:val="24"/>
          <w:szCs w:val="24"/>
          <w:highlight w:val="none"/>
        </w:rPr>
        <w:t>联合体各方均应当具备《中华人民共和国政府采购法》第二十二条规定的条件，并在响应文件中提供联合体各方的相</w:t>
      </w:r>
      <w:r>
        <w:rPr>
          <w:rFonts w:hint="eastAsia" w:ascii="宋体" w:hAnsi="宋体" w:eastAsia="宋体" w:cs="宋体"/>
          <w:color w:val="auto"/>
          <w:sz w:val="24"/>
          <w:szCs w:val="24"/>
          <w:highlight w:val="none"/>
        </w:rPr>
        <w:t>关证明材料。</w:t>
      </w:r>
    </w:p>
    <w:p w14:paraId="0BD30462">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z w:val="24"/>
          <w:szCs w:val="24"/>
          <w:highlight w:val="none"/>
        </w:rPr>
        <w:t>联合体成员存在不良信用记录的，视同联合体存在不良信用记录。</w:t>
      </w:r>
    </w:p>
    <w:p w14:paraId="36B3B3E4">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z w:val="24"/>
          <w:szCs w:val="24"/>
          <w:highlight w:val="none"/>
        </w:rPr>
        <w:t>联合体中有同类资质的供应商按照联合体分工承担相同工作的，应当按照资质等级较低的供应商确定资质等级。</w:t>
      </w:r>
    </w:p>
    <w:p w14:paraId="1E224F93">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pacing w:val="-1"/>
          <w:sz w:val="24"/>
          <w:szCs w:val="24"/>
          <w:highlight w:val="none"/>
        </w:rPr>
        <w:t>以联合体形式参加政府采购活动的，联合体各方不得再单独参加或者与其他供应商另外组成联合体参加同一合同项下</w:t>
      </w:r>
      <w:r>
        <w:rPr>
          <w:rFonts w:hint="eastAsia" w:ascii="宋体" w:hAnsi="宋体" w:eastAsia="宋体" w:cs="宋体"/>
          <w:color w:val="auto"/>
          <w:sz w:val="24"/>
          <w:szCs w:val="24"/>
          <w:highlight w:val="none"/>
        </w:rPr>
        <w:t>的政府采购活动。</w:t>
      </w:r>
    </w:p>
    <w:p w14:paraId="080D6DD8">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z w:val="24"/>
          <w:szCs w:val="24"/>
          <w:highlight w:val="none"/>
        </w:rPr>
        <w:t>联合体各方应当共同与采购人签订采购合同，就合同约定的事项对采购人承担连带责任。</w:t>
      </w:r>
    </w:p>
    <w:p w14:paraId="0BA498F1">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z w:val="24"/>
          <w:szCs w:val="24"/>
          <w:highlight w:val="none"/>
        </w:rPr>
        <w:t>如要求缴纳保证金，以联合体牵头人名义缴纳，对联合体各方均具有约束力。</w:t>
      </w:r>
    </w:p>
    <w:p w14:paraId="1B933C5B">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22" w:firstLineChars="200"/>
        <w:jc w:val="left"/>
        <w:textAlignment w:val="auto"/>
        <w:rPr>
          <w:rFonts w:hint="eastAsia" w:ascii="宋体" w:hAnsi="宋体" w:eastAsia="宋体" w:cs="宋体"/>
          <w:color w:val="auto"/>
          <w:sz w:val="24"/>
          <w:szCs w:val="24"/>
          <w:highlight w:val="none"/>
        </w:rPr>
      </w:pPr>
      <w:bookmarkStart w:id="64" w:name="_Toc16354"/>
      <w:bookmarkStart w:id="65" w:name="_Toc1261"/>
      <w:bookmarkStart w:id="66" w:name="_Toc15044"/>
      <w:bookmarkStart w:id="67" w:name="_Toc13887"/>
      <w:bookmarkStart w:id="68" w:name="_Toc25843"/>
      <w:r>
        <w:rPr>
          <w:rFonts w:hint="eastAsia" w:ascii="宋体" w:hAnsi="宋体" w:eastAsia="宋体" w:cs="宋体"/>
          <w:color w:val="auto"/>
          <w:spacing w:val="10"/>
          <w:sz w:val="24"/>
          <w:szCs w:val="24"/>
          <w:highlight w:val="none"/>
          <w:lang w:val="en-US" w:eastAsia="zh-CN"/>
        </w:rPr>
        <w:t>7、</w:t>
      </w:r>
      <w:r>
        <w:rPr>
          <w:rFonts w:hint="eastAsia" w:ascii="宋体" w:hAnsi="宋体" w:eastAsia="宋体" w:cs="宋体"/>
          <w:color w:val="auto"/>
          <w:spacing w:val="10"/>
          <w:sz w:val="24"/>
          <w:szCs w:val="24"/>
          <w:highlight w:val="none"/>
        </w:rPr>
        <w:t>语言文字以及计量单位</w:t>
      </w:r>
      <w:bookmarkEnd w:id="64"/>
      <w:bookmarkEnd w:id="65"/>
      <w:bookmarkEnd w:id="66"/>
      <w:bookmarkEnd w:id="67"/>
      <w:bookmarkEnd w:id="68"/>
    </w:p>
    <w:p w14:paraId="76F35B8E">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7.1</w:t>
      </w:r>
      <w:r>
        <w:rPr>
          <w:rFonts w:hint="eastAsia" w:ascii="宋体" w:hAnsi="宋体" w:eastAsia="宋体" w:cs="宋体"/>
          <w:color w:val="auto"/>
          <w:sz w:val="24"/>
          <w:szCs w:val="24"/>
          <w:highlight w:val="none"/>
        </w:rPr>
        <w:t>所有文件使用的语言文字为简体中文。专用术语使用外文的，应附有简体中文注释，否则视为无效。</w:t>
      </w:r>
    </w:p>
    <w:p w14:paraId="500AF12A">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7.2</w:t>
      </w:r>
      <w:r>
        <w:rPr>
          <w:rFonts w:hint="eastAsia" w:ascii="宋体" w:hAnsi="宋体" w:eastAsia="宋体" w:cs="宋体"/>
          <w:color w:val="auto"/>
          <w:sz w:val="24"/>
          <w:szCs w:val="24"/>
          <w:highlight w:val="none"/>
        </w:rPr>
        <w:t>所有计量均采用中华人民共和国法定的计量单位。</w:t>
      </w:r>
    </w:p>
    <w:p w14:paraId="2612F03F">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color w:val="auto"/>
          <w:sz w:val="15"/>
          <w:highlight w:val="none"/>
        </w:rPr>
      </w:pPr>
      <w:r>
        <w:rPr>
          <w:rFonts w:hint="eastAsia" w:ascii="宋体" w:hAnsi="宋体" w:eastAsia="宋体" w:cs="宋体"/>
          <w:color w:val="auto"/>
          <w:sz w:val="24"/>
          <w:szCs w:val="24"/>
          <w:highlight w:val="none"/>
          <w:lang w:val="en-US" w:eastAsia="zh-CN"/>
        </w:rPr>
        <w:t>7.3</w:t>
      </w:r>
      <w:r>
        <w:rPr>
          <w:rFonts w:hint="eastAsia" w:ascii="宋体" w:hAnsi="宋体" w:eastAsia="宋体" w:cs="宋体"/>
          <w:color w:val="auto"/>
          <w:sz w:val="24"/>
          <w:szCs w:val="24"/>
          <w:highlight w:val="none"/>
        </w:rPr>
        <w:t>所有</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一律使用人民币，货币单位：元。</w:t>
      </w:r>
    </w:p>
    <w:p w14:paraId="78D27FA9">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0" w:leftChars="0" w:right="0" w:rightChars="0" w:firstLine="514" w:firstLineChars="200"/>
        <w:jc w:val="left"/>
        <w:textAlignment w:val="auto"/>
        <w:rPr>
          <w:rFonts w:hint="eastAsia" w:ascii="宋体" w:hAnsi="宋体" w:eastAsia="宋体" w:cs="宋体"/>
          <w:color w:val="auto"/>
          <w:sz w:val="24"/>
          <w:szCs w:val="24"/>
          <w:highlight w:val="none"/>
        </w:rPr>
      </w:pPr>
      <w:bookmarkStart w:id="69" w:name="_Toc18960"/>
      <w:bookmarkStart w:id="70" w:name="_Toc25499"/>
      <w:bookmarkStart w:id="71" w:name="_Toc2269"/>
      <w:bookmarkStart w:id="72" w:name="_Toc4414"/>
      <w:bookmarkStart w:id="73" w:name="_Toc19337"/>
      <w:r>
        <w:rPr>
          <w:rFonts w:hint="eastAsia" w:ascii="宋体" w:hAnsi="宋体" w:eastAsia="宋体" w:cs="宋体"/>
          <w:color w:val="auto"/>
          <w:spacing w:val="8"/>
          <w:sz w:val="24"/>
          <w:szCs w:val="24"/>
          <w:highlight w:val="none"/>
          <w:lang w:val="en-US" w:eastAsia="zh-CN"/>
        </w:rPr>
        <w:t>8、</w:t>
      </w:r>
      <w:r>
        <w:rPr>
          <w:rFonts w:hint="eastAsia" w:ascii="宋体" w:hAnsi="宋体" w:eastAsia="宋体" w:cs="宋体"/>
          <w:color w:val="auto"/>
          <w:spacing w:val="8"/>
          <w:sz w:val="24"/>
          <w:szCs w:val="24"/>
          <w:highlight w:val="none"/>
        </w:rPr>
        <w:t>其他条款</w:t>
      </w:r>
      <w:bookmarkEnd w:id="69"/>
      <w:bookmarkEnd w:id="70"/>
      <w:bookmarkEnd w:id="71"/>
      <w:bookmarkEnd w:id="72"/>
      <w:bookmarkEnd w:id="73"/>
    </w:p>
    <w:p w14:paraId="7774AC8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无论成交与否供应商递交的响应文件均不予退还。</w:t>
      </w:r>
    </w:p>
    <w:p w14:paraId="3C061DCC">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06" w:firstLineChars="200"/>
        <w:textAlignment w:val="auto"/>
        <w:rPr>
          <w:rFonts w:hint="eastAsia" w:ascii="宋体" w:hAnsi="宋体" w:eastAsia="宋体" w:cs="宋体"/>
          <w:color w:val="auto"/>
          <w:sz w:val="24"/>
          <w:szCs w:val="24"/>
          <w:highlight w:val="none"/>
        </w:rPr>
      </w:pPr>
      <w:bookmarkStart w:id="74" w:name="_Toc32632"/>
      <w:bookmarkStart w:id="75" w:name="_Toc17473"/>
      <w:bookmarkStart w:id="76" w:name="_Toc15228"/>
      <w:bookmarkStart w:id="77" w:name="_Toc6028"/>
      <w:bookmarkStart w:id="78" w:name="_Toc26985"/>
      <w:r>
        <w:rPr>
          <w:rFonts w:hint="eastAsia" w:ascii="宋体" w:hAnsi="宋体" w:eastAsia="宋体" w:cs="宋体"/>
          <w:color w:val="auto"/>
          <w:w w:val="105"/>
          <w:sz w:val="24"/>
          <w:szCs w:val="24"/>
          <w:highlight w:val="none"/>
          <w:lang w:val="en-US" w:eastAsia="zh-CN"/>
        </w:rPr>
        <w:t>三、</w:t>
      </w:r>
      <w:r>
        <w:rPr>
          <w:rFonts w:hint="eastAsia" w:ascii="宋体" w:hAnsi="宋体" w:eastAsia="宋体" w:cs="宋体"/>
          <w:color w:val="auto"/>
          <w:w w:val="105"/>
          <w:sz w:val="24"/>
          <w:szCs w:val="24"/>
          <w:highlight w:val="none"/>
        </w:rPr>
        <w:t>磋商文件的澄清或者修改</w:t>
      </w:r>
      <w:bookmarkEnd w:id="74"/>
      <w:bookmarkEnd w:id="75"/>
      <w:bookmarkEnd w:id="76"/>
      <w:bookmarkEnd w:id="77"/>
      <w:bookmarkEnd w:id="78"/>
    </w:p>
    <w:p w14:paraId="3494D89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提交首次响应文件截止之日前，采购人、采购代理机构或者磋商小组可以对已发出的磋商文件进行必要的澄清或者修改， 澄清或者修改的内容作为磋商文件的组成部分。澄清或者修改的内容可能影响响应文件编制的，采购人、采购代理机构应当在提交首次响应文件截止时间至少5日前，在</w:t>
      </w:r>
      <w:r>
        <w:rPr>
          <w:rFonts w:hint="eastAsia" w:ascii="宋体" w:hAnsi="宋体" w:eastAsia="宋体" w:cs="宋体"/>
          <w:b w:val="0"/>
          <w:bCs w:val="0"/>
          <w:color w:val="auto"/>
          <w:sz w:val="24"/>
          <w:szCs w:val="24"/>
          <w:highlight w:val="none"/>
        </w:rPr>
        <w:t>《内蒙古自治区采购单位服务平台》、《内蒙古招标投标公共服务平台》</w:t>
      </w:r>
      <w:r>
        <w:rPr>
          <w:rFonts w:hint="eastAsia" w:ascii="宋体" w:hAnsi="宋体" w:eastAsia="宋体" w:cs="宋体"/>
          <w:color w:val="auto"/>
          <w:sz w:val="24"/>
          <w:szCs w:val="24"/>
          <w:highlight w:val="none"/>
        </w:rPr>
        <w:t>上发布更正公告进行通知；不足5日的，采购人、采购代理机构应当顺延提交首次响应文件截止时间。更正公告的内容为磋商文件的组成部分，供应商应自行上网查询，采购人或采购代理机构不承担供应商未及时关注相关信息的责任。</w:t>
      </w:r>
    </w:p>
    <w:p w14:paraId="4E5CE9A3">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30" w:firstLineChars="200"/>
        <w:textAlignment w:val="auto"/>
        <w:rPr>
          <w:rFonts w:hint="eastAsia" w:ascii="宋体" w:hAnsi="宋体" w:eastAsia="宋体" w:cs="宋体"/>
          <w:b/>
          <w:color w:val="auto"/>
          <w:sz w:val="24"/>
          <w:szCs w:val="24"/>
          <w:highlight w:val="none"/>
        </w:rPr>
      </w:pPr>
      <w:bookmarkStart w:id="79" w:name="_Toc1402"/>
      <w:bookmarkStart w:id="80" w:name="_Toc3621"/>
      <w:bookmarkStart w:id="81" w:name="_Toc21118"/>
      <w:bookmarkStart w:id="82" w:name="_Toc14256"/>
      <w:bookmarkStart w:id="83" w:name="_Toc17428"/>
      <w:r>
        <w:rPr>
          <w:rFonts w:hint="eastAsia" w:ascii="宋体" w:hAnsi="宋体" w:eastAsia="宋体" w:cs="宋体"/>
          <w:color w:val="auto"/>
          <w:w w:val="110"/>
          <w:sz w:val="24"/>
          <w:szCs w:val="24"/>
          <w:highlight w:val="none"/>
          <w:lang w:val="en-US" w:eastAsia="zh-CN"/>
        </w:rPr>
        <w:t>四、</w:t>
      </w:r>
      <w:r>
        <w:rPr>
          <w:rFonts w:hint="eastAsia" w:ascii="宋体" w:hAnsi="宋体" w:eastAsia="宋体" w:cs="宋体"/>
          <w:color w:val="auto"/>
          <w:w w:val="110"/>
          <w:sz w:val="24"/>
          <w:szCs w:val="24"/>
          <w:highlight w:val="none"/>
        </w:rPr>
        <w:t>响应文件</w:t>
      </w:r>
      <w:bookmarkEnd w:id="79"/>
      <w:bookmarkEnd w:id="80"/>
      <w:bookmarkEnd w:id="81"/>
      <w:bookmarkEnd w:id="82"/>
      <w:bookmarkEnd w:id="83"/>
    </w:p>
    <w:p w14:paraId="0953753F">
      <w:pPr>
        <w:pStyle w:val="27"/>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10"/>
          <w:sz w:val="24"/>
          <w:szCs w:val="24"/>
          <w:highlight w:val="none"/>
          <w:lang w:val="en-US" w:eastAsia="zh-CN"/>
        </w:rPr>
        <w:t>1、</w:t>
      </w:r>
      <w:r>
        <w:rPr>
          <w:rFonts w:hint="eastAsia" w:ascii="宋体" w:hAnsi="宋体" w:eastAsia="宋体" w:cs="宋体"/>
          <w:b/>
          <w:color w:val="auto"/>
          <w:spacing w:val="10"/>
          <w:sz w:val="24"/>
          <w:szCs w:val="24"/>
          <w:highlight w:val="none"/>
        </w:rPr>
        <w:t>响应文件的构成</w:t>
      </w:r>
    </w:p>
    <w:p w14:paraId="7FEF16F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响应文件应按照磋商文件第七章“响应文件格式与要求”进行编写，可以增加附页，并作为响应文件的组成部分。</w:t>
      </w:r>
    </w:p>
    <w:p w14:paraId="509E058E">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06" w:firstLineChars="200"/>
        <w:jc w:val="left"/>
        <w:textAlignment w:val="auto"/>
        <w:rPr>
          <w:rFonts w:hint="eastAsia" w:ascii="宋体" w:hAnsi="宋体" w:eastAsia="宋体" w:cs="宋体"/>
          <w:color w:val="auto"/>
          <w:sz w:val="24"/>
          <w:szCs w:val="24"/>
          <w:highlight w:val="none"/>
        </w:rPr>
      </w:pPr>
      <w:bookmarkStart w:id="84" w:name="_Toc20117"/>
      <w:bookmarkStart w:id="85" w:name="_Toc22978"/>
      <w:bookmarkStart w:id="86" w:name="_Toc599"/>
      <w:bookmarkStart w:id="87" w:name="_Toc26522"/>
      <w:bookmarkStart w:id="88" w:name="_Toc28296"/>
      <w:r>
        <w:rPr>
          <w:rFonts w:hint="eastAsia" w:ascii="宋体" w:hAnsi="宋体" w:eastAsia="宋体" w:cs="宋体"/>
          <w:color w:val="auto"/>
          <w:spacing w:val="6"/>
          <w:sz w:val="24"/>
          <w:szCs w:val="24"/>
          <w:highlight w:val="none"/>
          <w:lang w:val="en-US" w:eastAsia="zh-CN"/>
        </w:rPr>
        <w:t>2、</w:t>
      </w:r>
      <w:r>
        <w:rPr>
          <w:rFonts w:hint="eastAsia" w:ascii="宋体" w:hAnsi="宋体" w:eastAsia="宋体" w:cs="宋体"/>
          <w:color w:val="auto"/>
          <w:spacing w:val="6"/>
          <w:sz w:val="24"/>
          <w:szCs w:val="24"/>
          <w:highlight w:val="none"/>
          <w:lang w:eastAsia="zh-CN"/>
        </w:rPr>
        <w:t>响应</w:t>
      </w:r>
      <w:bookmarkEnd w:id="84"/>
      <w:bookmarkEnd w:id="85"/>
      <w:bookmarkEnd w:id="86"/>
      <w:bookmarkEnd w:id="87"/>
      <w:bookmarkEnd w:id="88"/>
    </w:p>
    <w:p w14:paraId="450F63B9">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2.1</w:t>
      </w:r>
      <w:r>
        <w:rPr>
          <w:rFonts w:hint="eastAsia" w:ascii="宋体" w:hAnsi="宋体" w:eastAsia="宋体" w:cs="宋体"/>
          <w:color w:val="auto"/>
          <w:sz w:val="24"/>
          <w:szCs w:val="24"/>
          <w:highlight w:val="none"/>
        </w:rPr>
        <w:t>供应商应按照磋商文件第三章</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采购</w:t>
      </w:r>
      <w:r>
        <w:rPr>
          <w:rFonts w:hint="eastAsia" w:cs="宋体"/>
          <w:color w:val="auto"/>
          <w:sz w:val="24"/>
          <w:szCs w:val="24"/>
          <w:highlight w:val="none"/>
          <w:lang w:val="en-US" w:eastAsia="zh-CN"/>
        </w:rPr>
        <w:t>人</w:t>
      </w:r>
      <w:r>
        <w:rPr>
          <w:rFonts w:hint="eastAsia" w:ascii="宋体" w:hAnsi="宋体" w:eastAsia="宋体" w:cs="宋体"/>
          <w:color w:val="auto"/>
          <w:sz w:val="24"/>
          <w:szCs w:val="24"/>
          <w:highlight w:val="none"/>
        </w:rPr>
        <w:t>要求</w:t>
      </w:r>
      <w:r>
        <w:rPr>
          <w:rFonts w:hint="eastAsia" w:ascii="宋体" w:hAnsi="宋体" w:eastAsia="宋体" w:cs="宋体"/>
          <w:color w:val="auto"/>
          <w:spacing w:val="-4"/>
          <w:sz w:val="24"/>
          <w:szCs w:val="24"/>
          <w:highlight w:val="none"/>
        </w:rPr>
        <w:t>”</w:t>
      </w:r>
      <w:r>
        <w:rPr>
          <w:rFonts w:hint="eastAsia" w:ascii="宋体" w:hAnsi="宋体" w:eastAsia="宋体" w:cs="宋体"/>
          <w:color w:val="auto"/>
          <w:spacing w:val="-1"/>
          <w:sz w:val="24"/>
          <w:szCs w:val="24"/>
          <w:highlight w:val="none"/>
        </w:rPr>
        <w:t>进行</w:t>
      </w:r>
      <w:r>
        <w:rPr>
          <w:rFonts w:hint="eastAsia" w:ascii="宋体" w:hAnsi="宋体" w:eastAsia="宋体" w:cs="宋体"/>
          <w:color w:val="auto"/>
          <w:spacing w:val="-1"/>
          <w:sz w:val="24"/>
          <w:szCs w:val="24"/>
          <w:highlight w:val="none"/>
          <w:lang w:eastAsia="zh-CN"/>
        </w:rPr>
        <w:t>响应</w:t>
      </w:r>
      <w:r>
        <w:rPr>
          <w:rFonts w:hint="eastAsia" w:ascii="宋体" w:hAnsi="宋体" w:eastAsia="宋体" w:cs="宋体"/>
          <w:color w:val="auto"/>
          <w:spacing w:val="-1"/>
          <w:sz w:val="24"/>
          <w:szCs w:val="24"/>
          <w:highlight w:val="none"/>
        </w:rPr>
        <w:t>。</w:t>
      </w:r>
      <w:r>
        <w:rPr>
          <w:rFonts w:hint="eastAsia" w:ascii="宋体" w:hAnsi="宋体" w:eastAsia="宋体" w:cs="宋体"/>
          <w:color w:val="auto"/>
          <w:spacing w:val="-1"/>
          <w:sz w:val="24"/>
          <w:szCs w:val="24"/>
          <w:highlight w:val="none"/>
          <w:lang w:eastAsia="zh-CN"/>
        </w:rPr>
        <w:t>响应</w:t>
      </w:r>
      <w:r>
        <w:rPr>
          <w:rFonts w:hint="eastAsia" w:ascii="宋体" w:hAnsi="宋体" w:eastAsia="宋体" w:cs="宋体"/>
          <w:color w:val="auto"/>
          <w:spacing w:val="-1"/>
          <w:sz w:val="24"/>
          <w:szCs w:val="24"/>
          <w:highlight w:val="none"/>
        </w:rPr>
        <w:t>中不得包含磋商文件要求以外的内容，否则，在</w:t>
      </w:r>
      <w:r>
        <w:rPr>
          <w:rFonts w:hint="eastAsia" w:ascii="宋体" w:hAnsi="宋体" w:eastAsia="宋体" w:cs="宋体"/>
          <w:color w:val="auto"/>
          <w:sz w:val="24"/>
          <w:szCs w:val="24"/>
          <w:highlight w:val="none"/>
        </w:rPr>
        <w:t>评审时不予核减。</w:t>
      </w:r>
    </w:p>
    <w:p w14:paraId="3503AEC0">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2.2</w:t>
      </w:r>
      <w:r>
        <w:rPr>
          <w:rFonts w:hint="eastAsia" w:ascii="宋体" w:hAnsi="宋体" w:eastAsia="宋体" w:cs="宋体"/>
          <w:color w:val="auto"/>
          <w:spacing w:val="-1"/>
          <w:sz w:val="24"/>
          <w:szCs w:val="24"/>
          <w:highlight w:val="none"/>
          <w:lang w:eastAsia="zh-CN"/>
        </w:rPr>
        <w:t>响应</w:t>
      </w:r>
      <w:r>
        <w:rPr>
          <w:rFonts w:hint="eastAsia" w:ascii="宋体" w:hAnsi="宋体" w:eastAsia="宋体" w:cs="宋体"/>
          <w:color w:val="auto"/>
          <w:spacing w:val="-1"/>
          <w:sz w:val="24"/>
          <w:szCs w:val="24"/>
          <w:highlight w:val="none"/>
        </w:rPr>
        <w:t>包括本项目采购需求和投入使用、实施的所有费用，如主件、标准附件、备品备件、施工、服务、专用工具、安</w:t>
      </w:r>
      <w:r>
        <w:rPr>
          <w:rFonts w:hint="eastAsia" w:ascii="宋体" w:hAnsi="宋体" w:eastAsia="宋体" w:cs="宋体"/>
          <w:color w:val="auto"/>
          <w:sz w:val="24"/>
          <w:szCs w:val="24"/>
          <w:highlight w:val="none"/>
        </w:rPr>
        <w:t>装、调试、检验、培训、运输、保险、税款等。</w:t>
      </w:r>
    </w:p>
    <w:p w14:paraId="75AE7DCC">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0" w:right="0" w:rightChars="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2.3</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不得有选择性</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和附有条件的</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w:t>
      </w:r>
    </w:p>
    <w:p w14:paraId="72D7B5C6">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22" w:firstLineChars="200"/>
        <w:jc w:val="left"/>
        <w:textAlignment w:val="auto"/>
        <w:rPr>
          <w:rFonts w:hint="eastAsia" w:ascii="宋体" w:hAnsi="宋体" w:eastAsia="宋体" w:cs="宋体"/>
          <w:color w:val="auto"/>
          <w:sz w:val="24"/>
          <w:szCs w:val="24"/>
          <w:highlight w:val="none"/>
        </w:rPr>
      </w:pPr>
      <w:bookmarkStart w:id="89" w:name="_Toc12550"/>
      <w:bookmarkStart w:id="90" w:name="_Toc22500"/>
      <w:bookmarkStart w:id="91" w:name="_Toc833"/>
      <w:bookmarkStart w:id="92" w:name="_Toc4087"/>
      <w:bookmarkStart w:id="93" w:name="_Toc17630"/>
      <w:r>
        <w:rPr>
          <w:rFonts w:hint="eastAsia" w:ascii="宋体" w:hAnsi="宋体" w:eastAsia="宋体" w:cs="宋体"/>
          <w:color w:val="auto"/>
          <w:spacing w:val="10"/>
          <w:sz w:val="24"/>
          <w:szCs w:val="24"/>
          <w:highlight w:val="none"/>
          <w:lang w:val="en-US" w:eastAsia="zh-CN"/>
        </w:rPr>
        <w:t>3、</w:t>
      </w:r>
      <w:r>
        <w:rPr>
          <w:rFonts w:hint="eastAsia" w:ascii="宋体" w:hAnsi="宋体" w:eastAsia="宋体" w:cs="宋体"/>
          <w:color w:val="auto"/>
          <w:spacing w:val="10"/>
          <w:sz w:val="24"/>
          <w:szCs w:val="24"/>
          <w:highlight w:val="none"/>
        </w:rPr>
        <w:t>响应文件的递交</w:t>
      </w:r>
      <w:bookmarkEnd w:id="89"/>
      <w:bookmarkEnd w:id="90"/>
      <w:bookmarkEnd w:id="91"/>
      <w:bookmarkEnd w:id="92"/>
      <w:bookmarkEnd w:id="93"/>
    </w:p>
    <w:p w14:paraId="1AC7C84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供应商应当在提交响应文件截止时间前递交响应文件，否则视为自动放弃。</w:t>
      </w:r>
    </w:p>
    <w:p w14:paraId="26BB78E9">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26" w:firstLineChars="200"/>
        <w:jc w:val="left"/>
        <w:textAlignment w:val="auto"/>
        <w:rPr>
          <w:rFonts w:hint="eastAsia" w:ascii="宋体" w:hAnsi="宋体" w:eastAsia="宋体" w:cs="宋体"/>
          <w:color w:val="auto"/>
          <w:sz w:val="24"/>
          <w:szCs w:val="24"/>
          <w:highlight w:val="none"/>
        </w:rPr>
      </w:pPr>
      <w:bookmarkStart w:id="94" w:name="_Toc4384"/>
      <w:bookmarkStart w:id="95" w:name="_Toc17694"/>
      <w:bookmarkStart w:id="96" w:name="_Toc9517"/>
      <w:bookmarkStart w:id="97" w:name="_Toc7395"/>
      <w:bookmarkStart w:id="98" w:name="_Toc5525"/>
      <w:r>
        <w:rPr>
          <w:rFonts w:hint="eastAsia" w:ascii="宋体" w:hAnsi="宋体" w:eastAsia="宋体" w:cs="宋体"/>
          <w:color w:val="auto"/>
          <w:spacing w:val="11"/>
          <w:sz w:val="24"/>
          <w:szCs w:val="24"/>
          <w:highlight w:val="none"/>
          <w:lang w:val="en-US" w:eastAsia="zh-CN"/>
        </w:rPr>
        <w:t>3.1</w:t>
      </w:r>
      <w:r>
        <w:rPr>
          <w:rFonts w:hint="eastAsia" w:ascii="宋体" w:hAnsi="宋体" w:eastAsia="宋体" w:cs="宋体"/>
          <w:color w:val="auto"/>
          <w:spacing w:val="11"/>
          <w:sz w:val="24"/>
          <w:szCs w:val="24"/>
          <w:highlight w:val="none"/>
        </w:rPr>
        <w:t>响应文件的补充、修改或者撤回</w:t>
      </w:r>
      <w:bookmarkEnd w:id="94"/>
      <w:bookmarkEnd w:id="95"/>
      <w:bookmarkEnd w:id="96"/>
      <w:bookmarkEnd w:id="97"/>
      <w:bookmarkEnd w:id="98"/>
    </w:p>
    <w:p w14:paraId="3DB74EE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供应商在提交响应文件截止时间前，可以对所提交的响应文件进行补充、修改或者撤回。 在提交响应文件截止时间后，供应商不得补充、修改或者撤回其响应文件。</w:t>
      </w:r>
    </w:p>
    <w:p w14:paraId="081AE88C">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0" w:right="0" w:rightChars="0" w:firstLine="506" w:firstLineChars="200"/>
        <w:jc w:val="left"/>
        <w:textAlignment w:val="auto"/>
        <w:rPr>
          <w:rFonts w:hint="eastAsia" w:ascii="宋体" w:hAnsi="宋体" w:eastAsia="宋体" w:cs="宋体"/>
          <w:color w:val="auto"/>
          <w:sz w:val="24"/>
          <w:szCs w:val="24"/>
          <w:highlight w:val="none"/>
        </w:rPr>
      </w:pPr>
      <w:bookmarkStart w:id="99" w:name="_Toc961"/>
      <w:bookmarkStart w:id="100" w:name="_Toc24099"/>
      <w:bookmarkStart w:id="101" w:name="_Toc15701"/>
      <w:bookmarkStart w:id="102" w:name="_Toc1992"/>
      <w:bookmarkStart w:id="103" w:name="_Toc10895"/>
      <w:r>
        <w:rPr>
          <w:rFonts w:hint="eastAsia" w:ascii="宋体" w:hAnsi="宋体" w:eastAsia="宋体" w:cs="宋体"/>
          <w:color w:val="auto"/>
          <w:spacing w:val="6"/>
          <w:sz w:val="24"/>
          <w:szCs w:val="24"/>
          <w:highlight w:val="none"/>
          <w:lang w:val="en-US" w:eastAsia="zh-CN"/>
        </w:rPr>
        <w:t>4、</w:t>
      </w:r>
      <w:r>
        <w:rPr>
          <w:rFonts w:hint="eastAsia" w:ascii="宋体" w:hAnsi="宋体" w:eastAsia="宋体" w:cs="宋体"/>
          <w:color w:val="auto"/>
          <w:spacing w:val="6"/>
          <w:sz w:val="24"/>
          <w:szCs w:val="24"/>
          <w:highlight w:val="none"/>
        </w:rPr>
        <w:t>样品</w:t>
      </w:r>
      <w:bookmarkEnd w:id="99"/>
      <w:bookmarkEnd w:id="100"/>
      <w:bookmarkEnd w:id="101"/>
      <w:bookmarkEnd w:id="102"/>
      <w:bookmarkEnd w:id="103"/>
    </w:p>
    <w:p w14:paraId="0F227F42">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4.1</w:t>
      </w:r>
      <w:r>
        <w:rPr>
          <w:rFonts w:hint="eastAsia" w:ascii="宋体" w:hAnsi="宋体" w:eastAsia="宋体" w:cs="宋体"/>
          <w:color w:val="auto"/>
          <w:spacing w:val="-1"/>
          <w:sz w:val="24"/>
          <w:szCs w:val="24"/>
          <w:highlight w:val="none"/>
        </w:rPr>
        <w:t>磋商文件规定供应商提交样品的，样品属于响应文件的组成部分。样品的生产、运输、安装、保全等一切费用由供应</w:t>
      </w:r>
      <w:r>
        <w:rPr>
          <w:rFonts w:hint="eastAsia" w:ascii="宋体" w:hAnsi="宋体" w:eastAsia="宋体" w:cs="宋体"/>
          <w:color w:val="auto"/>
          <w:sz w:val="24"/>
          <w:szCs w:val="24"/>
          <w:highlight w:val="none"/>
        </w:rPr>
        <w:t>商自理</w:t>
      </w:r>
    </w:p>
    <w:p w14:paraId="33BA7794">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4.</w:t>
      </w:r>
      <w:r>
        <w:rPr>
          <w:rFonts w:hint="eastAsia" w:cs="宋体"/>
          <w:color w:val="auto"/>
          <w:spacing w:val="-1"/>
          <w:sz w:val="24"/>
          <w:szCs w:val="24"/>
          <w:highlight w:val="none"/>
          <w:lang w:val="en-US" w:eastAsia="zh-CN"/>
        </w:rPr>
        <w:t>2</w:t>
      </w:r>
      <w:r>
        <w:rPr>
          <w:rFonts w:hint="eastAsia" w:ascii="宋体" w:hAnsi="宋体" w:eastAsia="宋体" w:cs="宋体"/>
          <w:color w:val="auto"/>
          <w:spacing w:val="-1"/>
          <w:sz w:val="24"/>
          <w:szCs w:val="24"/>
          <w:highlight w:val="none"/>
        </w:rPr>
        <w:t>响应文件开启前，供应商应将样品送达至指定地点，按要求摆放并做好展示。若需要现场演示的，供应商应提前做好</w:t>
      </w:r>
      <w:r>
        <w:rPr>
          <w:rFonts w:hint="eastAsia" w:ascii="宋体" w:hAnsi="宋体" w:eastAsia="宋体" w:cs="宋体"/>
          <w:color w:val="auto"/>
          <w:sz w:val="24"/>
          <w:szCs w:val="24"/>
          <w:highlight w:val="none"/>
        </w:rPr>
        <w:t>演示准备（包括演示设备）。</w:t>
      </w:r>
    </w:p>
    <w:p w14:paraId="0EF8BC75">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leftChars="0" w:right="0" w:rightChars="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lang w:val="en-US" w:eastAsia="zh-CN"/>
        </w:rPr>
        <w:t>4.</w:t>
      </w:r>
      <w:r>
        <w:rPr>
          <w:rFonts w:hint="eastAsia" w:cs="宋体"/>
          <w:color w:val="auto"/>
          <w:spacing w:val="-1"/>
          <w:sz w:val="24"/>
          <w:szCs w:val="24"/>
          <w:highlight w:val="none"/>
          <w:lang w:val="en-US" w:eastAsia="zh-CN"/>
        </w:rPr>
        <w:t>3</w:t>
      </w:r>
      <w:r>
        <w:rPr>
          <w:rFonts w:hint="eastAsia" w:ascii="宋体" w:hAnsi="宋体" w:eastAsia="宋体" w:cs="宋体"/>
          <w:color w:val="auto"/>
          <w:spacing w:val="-1"/>
          <w:sz w:val="24"/>
          <w:szCs w:val="24"/>
          <w:highlight w:val="none"/>
        </w:rPr>
        <w:t>采购活动结束后，对于未成交供应商提供的样品，应当及时退还或者经未成交供应商同意后自行处理；对于成交供应</w:t>
      </w:r>
      <w:r>
        <w:rPr>
          <w:rFonts w:hint="eastAsia" w:ascii="宋体" w:hAnsi="宋体" w:eastAsia="宋体" w:cs="宋体"/>
          <w:color w:val="auto"/>
          <w:sz w:val="24"/>
          <w:szCs w:val="24"/>
          <w:highlight w:val="none"/>
        </w:rPr>
        <w:t>商提供的样品，应当按照磋商文件的规定进行保管、封存，并作为履约验收的参考。</w:t>
      </w:r>
    </w:p>
    <w:p w14:paraId="335DACEA">
      <w:pPr>
        <w:pStyle w:val="5"/>
        <w:keepNext w:val="0"/>
        <w:keepLines w:val="0"/>
        <w:pageBreakBefore w:val="0"/>
        <w:widowControl w:val="0"/>
        <w:numPr>
          <w:ilvl w:val="0"/>
          <w:numId w:val="2"/>
        </w:numPr>
        <w:kinsoku/>
        <w:wordWrap/>
        <w:overflowPunct/>
        <w:topLinePunct w:val="0"/>
        <w:autoSpaceDE w:val="0"/>
        <w:autoSpaceDN w:val="0"/>
        <w:bidi w:val="0"/>
        <w:adjustRightInd/>
        <w:snapToGrid/>
        <w:spacing w:before="0" w:line="360" w:lineRule="auto"/>
        <w:ind w:left="0" w:leftChars="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开启、评审、结果公告、成交通知书</w:t>
      </w:r>
    </w:p>
    <w:p w14:paraId="12B04902">
      <w:pPr>
        <w:pStyle w:val="27"/>
        <w:keepNext w:val="0"/>
        <w:keepLines w:val="0"/>
        <w:pageBreakBefore w:val="0"/>
        <w:widowControl w:val="0"/>
        <w:numPr>
          <w:ilvl w:val="0"/>
          <w:numId w:val="0"/>
        </w:numPr>
        <w:tabs>
          <w:tab w:val="left" w:pos="697"/>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6"/>
          <w:sz w:val="24"/>
          <w:szCs w:val="24"/>
          <w:highlight w:val="none"/>
          <w:lang w:val="en-US" w:eastAsia="zh-CN"/>
        </w:rPr>
        <w:t>5.1</w:t>
      </w:r>
      <w:r>
        <w:rPr>
          <w:rFonts w:hint="eastAsia" w:ascii="宋体" w:hAnsi="宋体" w:eastAsia="宋体" w:cs="宋体"/>
          <w:b/>
          <w:color w:val="auto"/>
          <w:spacing w:val="6"/>
          <w:sz w:val="24"/>
          <w:szCs w:val="24"/>
          <w:highlight w:val="none"/>
        </w:rPr>
        <w:t>开启</w:t>
      </w:r>
    </w:p>
    <w:p w14:paraId="0CD16E92">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5.1.1</w:t>
      </w:r>
      <w:r>
        <w:rPr>
          <w:rFonts w:hint="eastAsia" w:ascii="宋体" w:hAnsi="宋体" w:eastAsia="宋体" w:cs="宋体"/>
          <w:color w:val="auto"/>
          <w:sz w:val="24"/>
          <w:szCs w:val="24"/>
          <w:highlight w:val="none"/>
        </w:rPr>
        <w:t>程序</w:t>
      </w:r>
    </w:p>
    <w:p w14:paraId="1889E6E9">
      <w:pPr>
        <w:pStyle w:val="27"/>
        <w:keepNext w:val="0"/>
        <w:keepLines w:val="0"/>
        <w:pageBreakBefore w:val="0"/>
        <w:widowControl w:val="0"/>
        <w:numPr>
          <w:ilvl w:val="0"/>
          <w:numId w:val="3"/>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宣布纪律；</w:t>
      </w:r>
    </w:p>
    <w:p w14:paraId="3D88F6EC">
      <w:pPr>
        <w:pStyle w:val="27"/>
        <w:keepNext w:val="0"/>
        <w:keepLines w:val="0"/>
        <w:pageBreakBefore w:val="0"/>
        <w:widowControl w:val="0"/>
        <w:numPr>
          <w:ilvl w:val="0"/>
          <w:numId w:val="3"/>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宣布相关人员；</w:t>
      </w:r>
    </w:p>
    <w:p w14:paraId="7B25FE05">
      <w:pPr>
        <w:pStyle w:val="27"/>
        <w:keepNext w:val="0"/>
        <w:keepLines w:val="0"/>
        <w:pageBreakBefore w:val="0"/>
        <w:widowControl w:val="0"/>
        <w:numPr>
          <w:ilvl w:val="0"/>
          <w:numId w:val="3"/>
        </w:numPr>
        <w:tabs>
          <w:tab w:val="left" w:pos="996"/>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由采购人或者采购代理机构工作人员宣布供应商名称和磋商文件规定需要宣</w:t>
      </w:r>
      <w:r>
        <w:rPr>
          <w:rFonts w:hint="eastAsia" w:ascii="宋体" w:hAnsi="宋体" w:eastAsia="宋体" w:cs="宋体"/>
          <w:color w:val="auto"/>
          <w:sz w:val="24"/>
          <w:szCs w:val="24"/>
          <w:highlight w:val="none"/>
        </w:rPr>
        <w:t>布的其他内容；</w:t>
      </w:r>
    </w:p>
    <w:p w14:paraId="798ED6AD">
      <w:pPr>
        <w:pStyle w:val="27"/>
        <w:keepNext w:val="0"/>
        <w:keepLines w:val="0"/>
        <w:pageBreakBefore w:val="0"/>
        <w:widowControl w:val="0"/>
        <w:numPr>
          <w:ilvl w:val="0"/>
          <w:numId w:val="3"/>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参加人员对开启情况进行确认；</w:t>
      </w:r>
    </w:p>
    <w:p w14:paraId="3CFEDB78">
      <w:pPr>
        <w:pStyle w:val="27"/>
        <w:keepNext w:val="0"/>
        <w:keepLines w:val="0"/>
        <w:pageBreakBefore w:val="0"/>
        <w:widowControl w:val="0"/>
        <w:numPr>
          <w:ilvl w:val="0"/>
          <w:numId w:val="3"/>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开启结束。</w:t>
      </w:r>
    </w:p>
    <w:p w14:paraId="0BDFB2D2">
      <w:pPr>
        <w:pStyle w:val="27"/>
        <w:keepNext w:val="0"/>
        <w:keepLines w:val="0"/>
        <w:pageBreakBefore w:val="0"/>
        <w:widowControl w:val="0"/>
        <w:numPr>
          <w:ilvl w:val="0"/>
          <w:numId w:val="0"/>
        </w:numPr>
        <w:tabs>
          <w:tab w:val="left" w:pos="851"/>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5.1.2</w:t>
      </w:r>
      <w:r>
        <w:rPr>
          <w:rFonts w:hint="eastAsia" w:ascii="宋体" w:hAnsi="宋体" w:eastAsia="宋体" w:cs="宋体"/>
          <w:color w:val="auto"/>
          <w:sz w:val="24"/>
          <w:szCs w:val="24"/>
          <w:highlight w:val="none"/>
        </w:rPr>
        <w:t>疑义</w:t>
      </w:r>
    </w:p>
    <w:p w14:paraId="796566F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代表对开启过程和开启记录有疑义，以及认为采购人、采购代理机构相关工作人员有需要回避情形的，应当场提出询问或者回避申请。采购人、采购代理机构对供应商代表提出的询问或者回避申请应当及时处理。</w:t>
      </w:r>
    </w:p>
    <w:p w14:paraId="51B7B726">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104" w:name="_Toc275"/>
      <w:bookmarkStart w:id="105" w:name="_Toc28865"/>
      <w:bookmarkStart w:id="106" w:name="_Toc11550"/>
      <w:bookmarkStart w:id="107" w:name="_Toc27254"/>
      <w:bookmarkStart w:id="108" w:name="_Toc1566"/>
      <w:r>
        <w:rPr>
          <w:rFonts w:hint="eastAsia" w:ascii="宋体" w:hAnsi="宋体" w:eastAsia="宋体" w:cs="宋体"/>
          <w:color w:val="auto"/>
          <w:spacing w:val="6"/>
          <w:sz w:val="24"/>
          <w:szCs w:val="24"/>
          <w:highlight w:val="none"/>
          <w:lang w:val="en-US" w:eastAsia="zh-CN"/>
        </w:rPr>
        <w:t>5.2</w:t>
      </w:r>
      <w:r>
        <w:rPr>
          <w:rFonts w:hint="eastAsia" w:ascii="宋体" w:hAnsi="宋体" w:eastAsia="宋体" w:cs="宋体"/>
          <w:color w:val="auto"/>
          <w:spacing w:val="6"/>
          <w:sz w:val="24"/>
          <w:szCs w:val="24"/>
          <w:highlight w:val="none"/>
        </w:rPr>
        <w:t>评审</w:t>
      </w:r>
      <w:bookmarkEnd w:id="104"/>
      <w:bookmarkEnd w:id="105"/>
      <w:bookmarkEnd w:id="106"/>
      <w:bookmarkEnd w:id="107"/>
      <w:bookmarkEnd w:id="108"/>
    </w:p>
    <w:p w14:paraId="0957706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详见第五章</w:t>
      </w:r>
    </w:p>
    <w:p w14:paraId="53E5F119">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109" w:name="_Toc11640"/>
      <w:bookmarkStart w:id="110" w:name="_Toc4418"/>
      <w:bookmarkStart w:id="111" w:name="_Toc3914"/>
      <w:bookmarkStart w:id="112" w:name="_Toc16173"/>
      <w:bookmarkStart w:id="113" w:name="_Toc13740"/>
      <w:r>
        <w:rPr>
          <w:rFonts w:hint="eastAsia" w:ascii="宋体" w:hAnsi="宋体" w:eastAsia="宋体" w:cs="宋体"/>
          <w:color w:val="auto"/>
          <w:spacing w:val="8"/>
          <w:sz w:val="24"/>
          <w:szCs w:val="24"/>
          <w:highlight w:val="none"/>
          <w:lang w:val="en-US" w:eastAsia="zh-CN"/>
        </w:rPr>
        <w:t>5.3</w:t>
      </w:r>
      <w:r>
        <w:rPr>
          <w:rFonts w:hint="eastAsia" w:ascii="宋体" w:hAnsi="宋体" w:eastAsia="宋体" w:cs="宋体"/>
          <w:color w:val="auto"/>
          <w:spacing w:val="8"/>
          <w:sz w:val="24"/>
          <w:szCs w:val="24"/>
          <w:highlight w:val="none"/>
        </w:rPr>
        <w:t>结果公告</w:t>
      </w:r>
      <w:bookmarkEnd w:id="109"/>
      <w:bookmarkEnd w:id="110"/>
      <w:bookmarkEnd w:id="111"/>
      <w:bookmarkEnd w:id="112"/>
      <w:bookmarkEnd w:id="113"/>
    </w:p>
    <w:p w14:paraId="7EB3629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成交供应商确定后，采购代理机构在</w:t>
      </w:r>
      <w:r>
        <w:rPr>
          <w:rFonts w:hint="eastAsia" w:ascii="宋体" w:hAnsi="宋体" w:eastAsia="宋体" w:cs="宋体"/>
          <w:b w:val="0"/>
          <w:bCs w:val="0"/>
          <w:color w:val="auto"/>
          <w:sz w:val="24"/>
          <w:szCs w:val="24"/>
          <w:highlight w:val="none"/>
        </w:rPr>
        <w:t>《内蒙古自治区采购单位服务平台》、《内蒙古招标投标公共服务平台》</w:t>
      </w:r>
      <w:r>
        <w:rPr>
          <w:rFonts w:hint="eastAsia" w:ascii="宋体" w:hAnsi="宋体" w:eastAsia="宋体" w:cs="宋体"/>
          <w:color w:val="auto"/>
          <w:sz w:val="24"/>
          <w:szCs w:val="24"/>
          <w:highlight w:val="none"/>
        </w:rPr>
        <w:t>上发布成交结果公告，同时将成交结果以公告形式通知未成交的供应商，成交结果公告期为 1 个工作日。项目“废标”后，采购代理机构将在</w:t>
      </w:r>
      <w:r>
        <w:rPr>
          <w:rFonts w:hint="eastAsia" w:ascii="宋体" w:hAnsi="宋体" w:eastAsia="宋体" w:cs="宋体"/>
          <w:b w:val="0"/>
          <w:bCs w:val="0"/>
          <w:color w:val="auto"/>
          <w:sz w:val="24"/>
          <w:szCs w:val="24"/>
          <w:highlight w:val="none"/>
        </w:rPr>
        <w:t>《内蒙古自治区采购单位服务平台》、《内蒙古招标投标公共服务平台》</w:t>
      </w:r>
      <w:r>
        <w:rPr>
          <w:rFonts w:hint="eastAsia" w:ascii="宋体" w:hAnsi="宋体" w:eastAsia="宋体" w:cs="宋体"/>
          <w:color w:val="auto"/>
          <w:sz w:val="24"/>
          <w:szCs w:val="24"/>
          <w:highlight w:val="none"/>
        </w:rPr>
        <w:t>上发布“废标公告”。</w:t>
      </w:r>
    </w:p>
    <w:p w14:paraId="51920E97">
      <w:pPr>
        <w:pStyle w:val="4"/>
        <w:keepNext w:val="0"/>
        <w:keepLines w:val="0"/>
        <w:pageBreakBefore w:val="0"/>
        <w:widowControl w:val="0"/>
        <w:numPr>
          <w:ilvl w:val="0"/>
          <w:numId w:val="0"/>
        </w:numPr>
        <w:tabs>
          <w:tab w:val="left" w:pos="778"/>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color w:val="auto"/>
          <w:sz w:val="24"/>
          <w:szCs w:val="24"/>
          <w:highlight w:val="none"/>
        </w:rPr>
      </w:pPr>
      <w:bookmarkStart w:id="114" w:name="_Toc1598"/>
      <w:bookmarkStart w:id="115" w:name="_Toc4137"/>
      <w:bookmarkStart w:id="116" w:name="_Toc28911"/>
      <w:bookmarkStart w:id="117" w:name="_Toc12404"/>
      <w:bookmarkStart w:id="118" w:name="_Toc12492"/>
      <w:r>
        <w:rPr>
          <w:rFonts w:hint="eastAsia" w:ascii="宋体" w:hAnsi="宋体" w:eastAsia="宋体" w:cs="宋体"/>
          <w:color w:val="auto"/>
          <w:spacing w:val="9"/>
          <w:sz w:val="24"/>
          <w:szCs w:val="24"/>
          <w:highlight w:val="none"/>
          <w:lang w:val="en-US" w:eastAsia="zh-CN"/>
        </w:rPr>
        <w:t>5.4</w:t>
      </w:r>
      <w:r>
        <w:rPr>
          <w:rFonts w:hint="eastAsia" w:ascii="宋体" w:hAnsi="宋体" w:eastAsia="宋体" w:cs="宋体"/>
          <w:color w:val="auto"/>
          <w:spacing w:val="9"/>
          <w:sz w:val="24"/>
          <w:szCs w:val="24"/>
          <w:highlight w:val="none"/>
        </w:rPr>
        <w:t>成交通知书</w:t>
      </w:r>
      <w:bookmarkEnd w:id="114"/>
      <w:bookmarkEnd w:id="115"/>
      <w:bookmarkEnd w:id="116"/>
      <w:bookmarkEnd w:id="117"/>
      <w:bookmarkEnd w:id="118"/>
    </w:p>
    <w:p w14:paraId="21F7FD7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发布成交结果的同时，</w:t>
      </w:r>
      <w:r>
        <w:rPr>
          <w:rFonts w:hint="eastAsia" w:ascii="宋体" w:hAnsi="宋体" w:eastAsia="宋体" w:cs="宋体"/>
          <w:color w:val="auto"/>
          <w:sz w:val="24"/>
          <w:szCs w:val="24"/>
          <w:highlight w:val="none"/>
          <w:lang w:val="en-US" w:eastAsia="zh-CN"/>
        </w:rPr>
        <w:t>发布</w:t>
      </w:r>
      <w:r>
        <w:rPr>
          <w:rFonts w:hint="eastAsia" w:ascii="宋体" w:hAnsi="宋体" w:eastAsia="宋体" w:cs="宋体"/>
          <w:color w:val="auto"/>
          <w:sz w:val="24"/>
          <w:szCs w:val="24"/>
          <w:highlight w:val="none"/>
        </w:rPr>
        <w:t>成交通知书</w:t>
      </w:r>
      <w:r>
        <w:rPr>
          <w:rFonts w:hint="eastAsia" w:cs="宋体"/>
          <w:color w:val="auto"/>
          <w:sz w:val="24"/>
          <w:szCs w:val="24"/>
          <w:highlight w:val="none"/>
          <w:lang w:eastAsia="zh-CN"/>
        </w:rPr>
        <w:t>，</w:t>
      </w:r>
      <w:r>
        <w:rPr>
          <w:rFonts w:hint="eastAsia" w:ascii="宋体" w:hAnsi="宋体" w:eastAsia="宋体" w:cs="宋体"/>
          <w:color w:val="auto"/>
          <w:sz w:val="24"/>
          <w:szCs w:val="24"/>
          <w:highlight w:val="none"/>
        </w:rPr>
        <w:t>成交通知书是合同的组成部分，成交通知书对采购人和成交供应商具有同等法律效力。</w:t>
      </w:r>
    </w:p>
    <w:p w14:paraId="22D9115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成交通知书发出后，采购人不得违法改变成交结果，供应商无正当理由不得放弃成交。</w:t>
      </w:r>
    </w:p>
    <w:p w14:paraId="6E4CCE1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06" w:firstLineChars="200"/>
        <w:textAlignment w:val="auto"/>
        <w:rPr>
          <w:rFonts w:hint="eastAsia" w:ascii="宋体" w:hAnsi="宋体" w:eastAsia="宋体" w:cs="宋体"/>
          <w:b/>
          <w:color w:val="auto"/>
          <w:sz w:val="24"/>
          <w:szCs w:val="24"/>
          <w:highlight w:val="none"/>
        </w:rPr>
      </w:pPr>
      <w:bookmarkStart w:id="119" w:name="_Toc25590"/>
      <w:bookmarkStart w:id="120" w:name="_Toc32174"/>
      <w:bookmarkStart w:id="121" w:name="_Toc32486"/>
      <w:bookmarkStart w:id="122" w:name="_Toc32533"/>
      <w:bookmarkStart w:id="123" w:name="_Toc578"/>
      <w:r>
        <w:rPr>
          <w:rFonts w:hint="eastAsia" w:ascii="宋体" w:hAnsi="宋体" w:eastAsia="宋体" w:cs="宋体"/>
          <w:color w:val="auto"/>
          <w:w w:val="105"/>
          <w:sz w:val="24"/>
          <w:szCs w:val="24"/>
          <w:highlight w:val="none"/>
          <w:lang w:val="en-US" w:eastAsia="zh-CN"/>
        </w:rPr>
        <w:t>六、</w:t>
      </w:r>
      <w:r>
        <w:rPr>
          <w:rFonts w:hint="eastAsia" w:ascii="宋体" w:hAnsi="宋体" w:eastAsia="宋体" w:cs="宋体"/>
          <w:color w:val="auto"/>
          <w:w w:val="105"/>
          <w:sz w:val="24"/>
          <w:szCs w:val="24"/>
          <w:highlight w:val="none"/>
        </w:rPr>
        <w:t>询问、质疑与投诉</w:t>
      </w:r>
      <w:bookmarkEnd w:id="119"/>
      <w:bookmarkEnd w:id="120"/>
      <w:bookmarkEnd w:id="121"/>
      <w:bookmarkEnd w:id="122"/>
      <w:bookmarkEnd w:id="123"/>
    </w:p>
    <w:p w14:paraId="6DFDBA0D">
      <w:pPr>
        <w:pStyle w:val="27"/>
        <w:keepNext w:val="0"/>
        <w:keepLines w:val="0"/>
        <w:pageBreakBefore w:val="0"/>
        <w:widowControl w:val="0"/>
        <w:numPr>
          <w:ilvl w:val="0"/>
          <w:numId w:val="4"/>
        </w:numPr>
        <w:tabs>
          <w:tab w:val="left" w:pos="778"/>
        </w:tabs>
        <w:kinsoku/>
        <w:wordWrap/>
        <w:overflowPunct/>
        <w:topLinePunct w:val="0"/>
        <w:autoSpaceDE w:val="0"/>
        <w:autoSpaceDN w:val="0"/>
        <w:bidi w:val="0"/>
        <w:adjustRightInd/>
        <w:snapToGrid/>
        <w:spacing w:before="0" w:after="0" w:line="360" w:lineRule="auto"/>
        <w:ind w:left="0" w:right="0" w:firstLine="506"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6"/>
          <w:sz w:val="24"/>
          <w:szCs w:val="24"/>
          <w:highlight w:val="none"/>
        </w:rPr>
        <w:t>询问</w:t>
      </w:r>
    </w:p>
    <w:p w14:paraId="056256CF">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对政府采购活动事项有疑问的，可以向采购人或采购代理机构提出询问，采购人或采购代理机构应当在3个工作日内作出答复，但答复的内容不得涉及商业秘密。供应商提出的询问超出采购人对采购代理机构委托授权范围的，采购代理机构应当告知其向采购人提出。</w:t>
      </w:r>
    </w:p>
    <w:p w14:paraId="33381762">
      <w:pPr>
        <w:pStyle w:val="4"/>
        <w:keepNext w:val="0"/>
        <w:keepLines w:val="0"/>
        <w:pageBreakBefore w:val="0"/>
        <w:widowControl w:val="0"/>
        <w:numPr>
          <w:ilvl w:val="0"/>
          <w:numId w:val="4"/>
        </w:numPr>
        <w:tabs>
          <w:tab w:val="left" w:pos="778"/>
        </w:tabs>
        <w:kinsoku/>
        <w:wordWrap/>
        <w:overflowPunct/>
        <w:topLinePunct w:val="0"/>
        <w:autoSpaceDE w:val="0"/>
        <w:autoSpaceDN w:val="0"/>
        <w:bidi w:val="0"/>
        <w:adjustRightInd/>
        <w:snapToGrid/>
        <w:spacing w:before="0" w:after="0" w:line="360" w:lineRule="auto"/>
        <w:ind w:left="0" w:right="0" w:firstLine="506" w:firstLineChars="200"/>
        <w:jc w:val="left"/>
        <w:textAlignment w:val="auto"/>
        <w:rPr>
          <w:rFonts w:hint="eastAsia" w:ascii="宋体" w:hAnsi="宋体" w:eastAsia="宋体" w:cs="宋体"/>
          <w:color w:val="auto"/>
          <w:sz w:val="24"/>
          <w:szCs w:val="24"/>
          <w:highlight w:val="none"/>
        </w:rPr>
      </w:pPr>
      <w:bookmarkStart w:id="124" w:name="_Toc27174"/>
      <w:bookmarkStart w:id="125" w:name="_Toc32702"/>
      <w:bookmarkStart w:id="126" w:name="_Toc23891"/>
      <w:bookmarkStart w:id="127" w:name="_Toc15709"/>
      <w:bookmarkStart w:id="128" w:name="_Toc29947"/>
      <w:r>
        <w:rPr>
          <w:rFonts w:hint="eastAsia" w:ascii="宋体" w:hAnsi="宋体" w:eastAsia="宋体" w:cs="宋体"/>
          <w:color w:val="auto"/>
          <w:spacing w:val="6"/>
          <w:sz w:val="24"/>
          <w:szCs w:val="24"/>
          <w:highlight w:val="none"/>
        </w:rPr>
        <w:t>质疑</w:t>
      </w:r>
      <w:bookmarkEnd w:id="124"/>
      <w:bookmarkEnd w:id="125"/>
      <w:bookmarkEnd w:id="126"/>
      <w:bookmarkEnd w:id="127"/>
      <w:bookmarkEnd w:id="128"/>
    </w:p>
    <w:p w14:paraId="713CA660">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认为采购文件、采购过程、成交结果使自己的权益受到损害的，可以在知道或者应知其权益受到损害之日起7个工作日内，以书面形式向采购人、采购代理机构提出质疑。供应商在法定质疑期内应当一次性提出针对同一采购程序环节的质疑。提出质疑的供应商应当是参与所质疑项目采购活动的供应商。</w:t>
      </w:r>
    </w:p>
    <w:p w14:paraId="4A68571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潜在供应商已依法获取其可质疑的采购文件的，可以对该文件提出质疑。对采购文件提出质疑的，应当在获取采购文件或者采购文件公告期限届满之日起7个工作日内提出。</w:t>
      </w:r>
    </w:p>
    <w:p w14:paraId="5149AFFA">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textAlignment w:val="auto"/>
        <w:rPr>
          <w:rFonts w:hint="eastAsia" w:ascii="宋体" w:hAnsi="宋体" w:eastAsia="宋体" w:cs="宋体"/>
          <w:color w:val="auto"/>
          <w:sz w:val="24"/>
          <w:szCs w:val="24"/>
          <w:highlight w:val="none"/>
        </w:rPr>
        <w:sectPr>
          <w:footerReference r:id="rId9" w:type="default"/>
          <w:pgSz w:w="11900" w:h="16840"/>
          <w:pgMar w:top="1599" w:right="1259" w:bottom="1599" w:left="1259" w:header="720" w:footer="91" w:gutter="0"/>
          <w:pgNumType w:fmt="decimal"/>
          <w:cols w:space="0" w:num="1"/>
          <w:rtlGutter w:val="0"/>
          <w:docGrid w:linePitch="0" w:charSpace="0"/>
        </w:sectPr>
      </w:pPr>
    </w:p>
    <w:p w14:paraId="02C243FB">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采购人、采购代理机构应当在收到供应商的书面质疑后</w:t>
      </w:r>
      <w:r>
        <w:rPr>
          <w:rFonts w:hint="eastAsia" w:ascii="宋体" w:hAnsi="宋体" w:eastAsia="宋体" w:cs="宋体"/>
          <w:color w:val="auto"/>
          <w:spacing w:val="-3"/>
          <w:sz w:val="24"/>
          <w:szCs w:val="24"/>
          <w:highlight w:val="none"/>
        </w:rPr>
        <w:t>7</w:t>
      </w:r>
      <w:r>
        <w:rPr>
          <w:rFonts w:hint="eastAsia" w:ascii="宋体" w:hAnsi="宋体" w:eastAsia="宋体" w:cs="宋体"/>
          <w:color w:val="auto"/>
          <w:spacing w:val="-1"/>
          <w:sz w:val="24"/>
          <w:szCs w:val="24"/>
          <w:highlight w:val="none"/>
        </w:rPr>
        <w:t>个工作日内作出答复，并以书面形式通知质疑供应商和其他</w:t>
      </w:r>
      <w:r>
        <w:rPr>
          <w:rFonts w:hint="eastAsia" w:ascii="宋体" w:hAnsi="宋体" w:eastAsia="宋体" w:cs="宋体"/>
          <w:color w:val="auto"/>
          <w:sz w:val="24"/>
          <w:szCs w:val="24"/>
          <w:highlight w:val="none"/>
        </w:rPr>
        <w:t>有关供应商，但答复的内容不得涉及商业秘密。</w:t>
      </w:r>
    </w:p>
    <w:p w14:paraId="261301EF">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询问或者质疑事项可能影响成交结果的，采购人应当暂停签订合同，已经签订合同的，应当中止履行合同。</w:t>
      </w:r>
    </w:p>
    <w:p w14:paraId="01905B09">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供应商提出质疑应当提交质疑函和必要的证明材料。质疑函应当包括下列内容：</w:t>
      </w:r>
    </w:p>
    <w:p w14:paraId="5EEEC9F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（一）供应商的姓名或者名称、地址、邮编、联系人及联系电话；</w:t>
      </w:r>
    </w:p>
    <w:p w14:paraId="3009E7A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（二）质疑项目的名称、编号；</w:t>
      </w:r>
    </w:p>
    <w:p w14:paraId="66B20E3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（三）具体、明确的质疑事项和与质疑事项相关的请求；</w:t>
      </w:r>
    </w:p>
    <w:p w14:paraId="08C680E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（四）事实依据；</w:t>
      </w:r>
    </w:p>
    <w:p w14:paraId="3D2CFE69">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（五）必要的法律依据；</w:t>
      </w:r>
    </w:p>
    <w:p w14:paraId="4E59177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（六）提出质疑的日期。</w:t>
      </w:r>
    </w:p>
    <w:p w14:paraId="38512AA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供应商为自然人的，应当由本人签字；供应商为法人或者其他组织的，应当由法定代表人、主要负责人，或者其授权代表</w:t>
      </w:r>
      <w:r>
        <w:rPr>
          <w:rFonts w:hint="eastAsia" w:ascii="宋体" w:hAnsi="宋体" w:eastAsia="宋体" w:cs="宋体"/>
          <w:color w:val="auto"/>
          <w:sz w:val="24"/>
          <w:szCs w:val="24"/>
          <w:highlight w:val="none"/>
        </w:rPr>
        <w:t>签字或者盖章，并加盖公章。</w:t>
      </w:r>
    </w:p>
    <w:p w14:paraId="2269426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供应商可以委托代理人进行质疑，代理人提出质疑时应当提交供应商签署的授权委托书。其授权委托书应当载明代理人的姓名或者名称、代理事项、具体权限、期限和相关事项。</w:t>
      </w:r>
    </w:p>
    <w:p w14:paraId="7F1BA1DF">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供应商提交的质疑函，应按照</w:t>
      </w:r>
      <w:r>
        <w:rPr>
          <w:rFonts w:hint="eastAsia" w:ascii="宋体" w:hAnsi="宋体" w:eastAsia="宋体" w:cs="宋体"/>
          <w:color w:val="auto"/>
          <w:sz w:val="24"/>
          <w:szCs w:val="24"/>
          <w:highlight w:val="none"/>
          <w:lang w:val="en-US" w:eastAsia="zh-CN"/>
        </w:rPr>
        <w:t>采购文件</w:t>
      </w:r>
      <w:r>
        <w:rPr>
          <w:rFonts w:hint="eastAsia" w:ascii="宋体" w:hAnsi="宋体" w:eastAsia="宋体" w:cs="宋体"/>
          <w:color w:val="auto"/>
          <w:sz w:val="24"/>
          <w:szCs w:val="24"/>
          <w:highlight w:val="none"/>
        </w:rPr>
        <w:t>中的</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质疑函范本</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制作。</w:t>
      </w:r>
    </w:p>
    <w:p w14:paraId="2CF9594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接收质疑函的方式。为了使提出的质疑事项在规定时间内得到有效答复、处理，质疑由法定代表人或授权代表亲自将质疑函递交至采购人或采购代理机构</w:t>
      </w:r>
      <w:r>
        <w:rPr>
          <w:rFonts w:hint="eastAsia" w:ascii="宋体" w:hAnsi="宋体" w:eastAsia="宋体" w:cs="宋体"/>
          <w:color w:val="auto"/>
          <w:sz w:val="24"/>
          <w:szCs w:val="24"/>
          <w:highlight w:val="none"/>
          <w:lang w:eastAsia="zh-CN"/>
        </w:rPr>
        <w:t>。</w:t>
      </w:r>
    </w:p>
    <w:p w14:paraId="53CBA495">
      <w:pPr>
        <w:pStyle w:val="4"/>
        <w:keepNext w:val="0"/>
        <w:keepLines w:val="0"/>
        <w:pageBreakBefore w:val="0"/>
        <w:widowControl w:val="0"/>
        <w:numPr>
          <w:ilvl w:val="0"/>
          <w:numId w:val="4"/>
        </w:numPr>
        <w:tabs>
          <w:tab w:val="left" w:pos="778"/>
        </w:tabs>
        <w:kinsoku/>
        <w:wordWrap/>
        <w:overflowPunct/>
        <w:topLinePunct w:val="0"/>
        <w:autoSpaceDE w:val="0"/>
        <w:autoSpaceDN w:val="0"/>
        <w:bidi w:val="0"/>
        <w:adjustRightInd/>
        <w:snapToGrid/>
        <w:spacing w:before="0" w:after="0" w:line="360" w:lineRule="auto"/>
        <w:ind w:left="0" w:right="0" w:firstLine="506" w:firstLineChars="200"/>
        <w:jc w:val="left"/>
        <w:textAlignment w:val="auto"/>
        <w:rPr>
          <w:rFonts w:hint="eastAsia" w:ascii="宋体" w:hAnsi="宋体" w:eastAsia="宋体" w:cs="宋体"/>
          <w:color w:val="auto"/>
          <w:sz w:val="24"/>
          <w:szCs w:val="24"/>
          <w:highlight w:val="none"/>
        </w:rPr>
      </w:pPr>
      <w:bookmarkStart w:id="129" w:name="_Toc30525"/>
      <w:bookmarkStart w:id="130" w:name="_Toc32257"/>
      <w:bookmarkStart w:id="131" w:name="_Toc17184"/>
      <w:bookmarkStart w:id="132" w:name="_Toc13654"/>
      <w:bookmarkStart w:id="133" w:name="_Toc12615"/>
      <w:r>
        <w:rPr>
          <w:rFonts w:hint="eastAsia" w:ascii="宋体" w:hAnsi="宋体" w:eastAsia="宋体" w:cs="宋体"/>
          <w:color w:val="auto"/>
          <w:spacing w:val="6"/>
          <w:sz w:val="24"/>
          <w:szCs w:val="24"/>
          <w:highlight w:val="none"/>
        </w:rPr>
        <w:t>投诉</w:t>
      </w:r>
      <w:bookmarkEnd w:id="129"/>
      <w:bookmarkEnd w:id="130"/>
      <w:bookmarkEnd w:id="131"/>
      <w:bookmarkEnd w:id="132"/>
      <w:bookmarkEnd w:id="133"/>
    </w:p>
    <w:p w14:paraId="2B4BEE56">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质疑人对采购人、采购代理机构的答复不满意或者采购人、采购代理机构未在规定的时间内作出书面答复的，可以在</w:t>
      </w:r>
      <w:r>
        <w:rPr>
          <w:rFonts w:hint="eastAsia" w:ascii="宋体" w:hAnsi="宋体" w:eastAsia="宋体" w:cs="宋体"/>
          <w:color w:val="auto"/>
          <w:sz w:val="24"/>
          <w:szCs w:val="24"/>
          <w:highlight w:val="none"/>
        </w:rPr>
        <w:t>答复期满后</w:t>
      </w:r>
      <w:r>
        <w:rPr>
          <w:rFonts w:hint="eastAsia" w:ascii="宋体" w:hAnsi="宋体" w:eastAsia="宋体" w:cs="宋体"/>
          <w:color w:val="auto"/>
          <w:spacing w:val="-3"/>
          <w:sz w:val="24"/>
          <w:szCs w:val="24"/>
          <w:highlight w:val="none"/>
        </w:rPr>
        <w:t>15</w:t>
      </w:r>
      <w:r>
        <w:rPr>
          <w:rFonts w:hint="eastAsia" w:ascii="宋体" w:hAnsi="宋体" w:eastAsia="宋体" w:cs="宋体"/>
          <w:color w:val="auto"/>
          <w:sz w:val="24"/>
          <w:szCs w:val="24"/>
          <w:highlight w:val="none"/>
        </w:rPr>
        <w:t>个工作日内向财政部门提起投诉。</w:t>
      </w:r>
    </w:p>
    <w:p w14:paraId="4FD4609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供应商投诉的事项不得超出已质疑事项的范围，但基于质疑答复内容提出的投诉事项除外。</w:t>
      </w:r>
    </w:p>
    <w:p w14:paraId="32AC589B">
      <w:pPr>
        <w:pStyle w:val="27"/>
        <w:keepNext w:val="0"/>
        <w:keepLines w:val="0"/>
        <w:pageBreakBefore w:val="0"/>
        <w:widowControl w:val="0"/>
        <w:numPr>
          <w:ilvl w:val="1"/>
          <w:numId w:val="4"/>
        </w:numPr>
        <w:tabs>
          <w:tab w:val="left" w:pos="851"/>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投诉人投诉时，应当提交投诉书和必要的证明材料，并按照被投诉采购人、采购代理机构（以下简称被投诉人）</w:t>
      </w:r>
      <w:r>
        <w:rPr>
          <w:rFonts w:hint="eastAsia" w:ascii="宋体" w:hAnsi="宋体" w:eastAsia="宋体" w:cs="宋体"/>
          <w:color w:val="auto"/>
          <w:spacing w:val="-8"/>
          <w:sz w:val="24"/>
          <w:szCs w:val="24"/>
          <w:highlight w:val="none"/>
        </w:rPr>
        <w:t>和与</w:t>
      </w:r>
      <w:r>
        <w:rPr>
          <w:rFonts w:hint="eastAsia" w:ascii="宋体" w:hAnsi="宋体" w:eastAsia="宋体" w:cs="宋体"/>
          <w:color w:val="auto"/>
          <w:sz w:val="24"/>
          <w:szCs w:val="24"/>
          <w:highlight w:val="none"/>
        </w:rPr>
        <w:t>投诉事项有关的供应商数量提供投诉书的副本。投诉书应当包括下列内容：</w:t>
      </w:r>
    </w:p>
    <w:p w14:paraId="56C939F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（一）投诉人和被投诉人的姓名或者名称、通讯地址、邮编、联系人及联系电话；</w:t>
      </w:r>
    </w:p>
    <w:p w14:paraId="1DB77B9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（二）质疑和质疑答复情况说明及相关证明材料；</w:t>
      </w:r>
    </w:p>
    <w:p w14:paraId="762A578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（三）具体、明确的投诉事项和与投诉事项相关的投诉请求；</w:t>
      </w:r>
    </w:p>
    <w:p w14:paraId="7BF2C9D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（四）事实依据；</w:t>
      </w:r>
    </w:p>
    <w:p w14:paraId="62F0CF4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（五）法律依据；</w:t>
      </w:r>
    </w:p>
    <w:p w14:paraId="6A01FA4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（六）提起投诉的日期。</w:t>
      </w:r>
    </w:p>
    <w:p w14:paraId="7519FDA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投诉人为自然人的，应当由本人签字；投诉人为法人或者其他组织的，应当由法定代表人、主要负责人，或者其授权代表</w:t>
      </w:r>
      <w:r>
        <w:rPr>
          <w:rFonts w:hint="eastAsia" w:ascii="宋体" w:hAnsi="宋体" w:eastAsia="宋体" w:cs="宋体"/>
          <w:color w:val="auto"/>
          <w:sz w:val="24"/>
          <w:szCs w:val="24"/>
          <w:highlight w:val="none"/>
        </w:rPr>
        <w:t>签字或者盖章，并加盖公章。</w:t>
      </w:r>
    </w:p>
    <w:p w14:paraId="41FAF3BC">
      <w:pPr>
        <w:pStyle w:val="27"/>
        <w:keepNext w:val="0"/>
        <w:keepLines w:val="0"/>
        <w:pageBreakBefore w:val="0"/>
        <w:widowControl w:val="0"/>
        <w:numPr>
          <w:ilvl w:val="1"/>
          <w:numId w:val="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投诉人提交的投诉书，应严格按照</w:t>
      </w:r>
      <w:r>
        <w:rPr>
          <w:rFonts w:hint="eastAsia" w:ascii="宋体" w:hAnsi="宋体" w:eastAsia="宋体" w:cs="宋体"/>
          <w:color w:val="auto"/>
          <w:sz w:val="24"/>
          <w:szCs w:val="24"/>
          <w:highlight w:val="none"/>
          <w:lang w:val="en-US" w:eastAsia="zh-CN"/>
        </w:rPr>
        <w:t>采购文件</w:t>
      </w:r>
      <w:r>
        <w:rPr>
          <w:rFonts w:hint="eastAsia" w:ascii="宋体" w:hAnsi="宋体" w:eastAsia="宋体" w:cs="宋体"/>
          <w:color w:val="auto"/>
          <w:sz w:val="24"/>
          <w:szCs w:val="24"/>
          <w:highlight w:val="none"/>
        </w:rPr>
        <w:t>中的</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投诉书范本</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制作。</w:t>
      </w:r>
    </w:p>
    <w:p w14:paraId="40F5FC0D">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16C5694D">
      <w:pPr>
        <w:pStyle w:val="2"/>
        <w:rPr>
          <w:b/>
          <w:color w:val="auto"/>
          <w:sz w:val="30"/>
          <w:highlight w:val="none"/>
        </w:rPr>
      </w:pPr>
      <w:bookmarkStart w:id="134" w:name="_Toc21232"/>
      <w:r>
        <w:rPr>
          <w:color w:val="auto"/>
          <w:highlight w:val="none"/>
        </w:rPr>
        <w:t xml:space="preserve">第三章 </w:t>
      </w:r>
      <w:r>
        <w:rPr>
          <w:rFonts w:hint="eastAsia"/>
          <w:color w:val="auto"/>
          <w:highlight w:val="none"/>
        </w:rPr>
        <w:t>采购内容</w:t>
      </w:r>
      <w:r>
        <w:rPr>
          <w:highlight w:val="none"/>
        </w:rPr>
        <w:t>与技术要求</w:t>
      </w:r>
      <w:bookmarkEnd w:id="134"/>
    </w:p>
    <w:p w14:paraId="218CA71C">
      <w:pPr>
        <w:pStyle w:val="9"/>
        <w:spacing w:before="8"/>
        <w:ind w:left="0"/>
        <w:rPr>
          <w:rFonts w:hint="eastAsia" w:ascii="宋体" w:hAnsi="宋体" w:eastAsia="宋体" w:cs="宋体"/>
          <w:b/>
          <w:color w:val="auto"/>
          <w:sz w:val="24"/>
          <w:szCs w:val="24"/>
          <w:highlight w:val="none"/>
        </w:rPr>
      </w:pPr>
    </w:p>
    <w:p w14:paraId="6A8307BE">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firstLine="506" w:firstLineChars="200"/>
        <w:textAlignment w:val="auto"/>
        <w:rPr>
          <w:rFonts w:hint="eastAsia" w:ascii="宋体" w:hAnsi="宋体" w:eastAsia="宋体" w:cs="宋体"/>
          <w:color w:val="auto"/>
          <w:sz w:val="24"/>
          <w:szCs w:val="24"/>
          <w:highlight w:val="none"/>
        </w:rPr>
      </w:pPr>
      <w:bookmarkStart w:id="135" w:name="_Toc10709"/>
      <w:bookmarkStart w:id="136" w:name="_Toc18253"/>
      <w:bookmarkStart w:id="137" w:name="_Toc19544"/>
      <w:bookmarkStart w:id="138" w:name="_Toc21849"/>
      <w:bookmarkStart w:id="139" w:name="_Toc9049"/>
      <w:r>
        <w:rPr>
          <w:rFonts w:hint="eastAsia" w:ascii="宋体" w:hAnsi="宋体" w:eastAsia="宋体" w:cs="宋体"/>
          <w:color w:val="auto"/>
          <w:w w:val="105"/>
          <w:sz w:val="24"/>
          <w:szCs w:val="24"/>
          <w:highlight w:val="none"/>
          <w:lang w:val="en-US" w:eastAsia="zh-CN"/>
        </w:rPr>
        <w:t>一、</w:t>
      </w:r>
      <w:r>
        <w:rPr>
          <w:rFonts w:hint="eastAsia" w:ascii="宋体" w:hAnsi="宋体" w:eastAsia="宋体" w:cs="宋体"/>
          <w:color w:val="auto"/>
          <w:w w:val="105"/>
          <w:sz w:val="24"/>
          <w:szCs w:val="24"/>
          <w:highlight w:val="none"/>
        </w:rPr>
        <w:t>项目概况 ：</w:t>
      </w:r>
      <w:bookmarkEnd w:id="135"/>
      <w:bookmarkEnd w:id="136"/>
      <w:bookmarkEnd w:id="137"/>
      <w:bookmarkEnd w:id="138"/>
      <w:bookmarkEnd w:id="139"/>
    </w:p>
    <w:p w14:paraId="53BC6AB6">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leftChars="0" w:firstLine="480" w:firstLineChars="200"/>
        <w:textAlignment w:val="auto"/>
        <w:rPr>
          <w:rFonts w:hint="eastAsia" w:ascii="宋体" w:hAnsi="宋体" w:eastAsia="宋体" w:cs="宋体"/>
          <w:b w:val="0"/>
          <w:bCs w:val="0"/>
          <w:color w:val="auto"/>
          <w:sz w:val="24"/>
          <w:szCs w:val="24"/>
          <w:highlight w:val="none"/>
          <w:lang w:val="en-US" w:eastAsia="zh-CN" w:bidi="ar-SA"/>
        </w:rPr>
      </w:pPr>
      <w:bookmarkStart w:id="140" w:name="_Toc13067"/>
      <w:bookmarkStart w:id="141" w:name="_Toc20093"/>
      <w:bookmarkStart w:id="142" w:name="_Toc8612"/>
      <w:r>
        <w:rPr>
          <w:rFonts w:hint="eastAsia" w:ascii="宋体" w:hAnsi="宋体" w:eastAsia="宋体" w:cs="宋体"/>
          <w:b w:val="0"/>
          <w:bCs w:val="0"/>
          <w:color w:val="auto"/>
          <w:sz w:val="24"/>
          <w:szCs w:val="24"/>
          <w:highlight w:val="none"/>
          <w:lang w:val="en-US" w:eastAsia="zh-CN" w:bidi="ar-SA"/>
        </w:rPr>
        <w:t>2022年-2024年巡游出租车运营成本、浮桥通行成本监审（调查）项目，内容详见附表一。</w:t>
      </w:r>
      <w:bookmarkEnd w:id="140"/>
      <w:bookmarkEnd w:id="141"/>
    </w:p>
    <w:p w14:paraId="7E9C643B">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firstLine="506" w:firstLineChars="200"/>
        <w:textAlignment w:val="auto"/>
        <w:rPr>
          <w:rFonts w:hint="eastAsia" w:ascii="宋体" w:hAnsi="宋体" w:eastAsia="宋体" w:cs="宋体"/>
          <w:color w:val="auto"/>
          <w:sz w:val="24"/>
          <w:szCs w:val="24"/>
          <w:highlight w:val="none"/>
        </w:rPr>
      </w:pPr>
      <w:bookmarkStart w:id="143" w:name="_Toc29055"/>
      <w:bookmarkStart w:id="144" w:name="_Toc16324"/>
      <w:bookmarkStart w:id="145" w:name="_Toc31539"/>
      <w:bookmarkStart w:id="146" w:name="_Toc15357"/>
      <w:r>
        <w:rPr>
          <w:rFonts w:hint="eastAsia" w:ascii="宋体" w:hAnsi="宋体" w:eastAsia="宋体" w:cs="宋体"/>
          <w:color w:val="auto"/>
          <w:w w:val="105"/>
          <w:sz w:val="24"/>
          <w:szCs w:val="24"/>
          <w:highlight w:val="none"/>
          <w:lang w:val="en-US" w:eastAsia="zh-CN"/>
        </w:rPr>
        <w:t>二、</w:t>
      </w:r>
      <w:r>
        <w:rPr>
          <w:rFonts w:hint="eastAsia" w:ascii="宋体" w:hAnsi="宋体" w:eastAsia="宋体" w:cs="宋体"/>
          <w:color w:val="auto"/>
          <w:w w:val="105"/>
          <w:sz w:val="24"/>
          <w:szCs w:val="24"/>
          <w:highlight w:val="none"/>
        </w:rPr>
        <w:t>主要商务要求、技术要求</w:t>
      </w:r>
      <w:bookmarkEnd w:id="142"/>
      <w:bookmarkEnd w:id="143"/>
      <w:bookmarkEnd w:id="144"/>
      <w:bookmarkEnd w:id="145"/>
      <w:bookmarkEnd w:id="146"/>
    </w:p>
    <w:p w14:paraId="30B5496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合同包1（</w:t>
      </w:r>
      <w:r>
        <w:rPr>
          <w:rFonts w:hint="eastAsia" w:cs="宋体"/>
          <w:color w:val="auto"/>
          <w:sz w:val="24"/>
          <w:szCs w:val="24"/>
          <w:highlight w:val="none"/>
          <w:lang w:eastAsia="zh-CN"/>
        </w:rPr>
        <w:t>2022年-2024年巡游出租车运营成本、浮桥通行成本监审（调查）项目</w:t>
      </w:r>
      <w:r>
        <w:rPr>
          <w:rFonts w:hint="eastAsia" w:ascii="宋体" w:hAnsi="宋体" w:eastAsia="宋体" w:cs="宋体"/>
          <w:color w:val="auto"/>
          <w:sz w:val="24"/>
          <w:szCs w:val="24"/>
          <w:highlight w:val="none"/>
        </w:rPr>
        <w:t>）</w:t>
      </w:r>
    </w:p>
    <w:p w14:paraId="749F6E67">
      <w:pPr>
        <w:pStyle w:val="5"/>
        <w:keepNext w:val="0"/>
        <w:keepLines w:val="0"/>
        <w:pageBreakBefore w:val="0"/>
        <w:widowControl w:val="0"/>
        <w:numPr>
          <w:ilvl w:val="0"/>
          <w:numId w:val="0"/>
        </w:numPr>
        <w:tabs>
          <w:tab w:val="left" w:pos="313"/>
        </w:tabs>
        <w:kinsoku/>
        <w:wordWrap/>
        <w:overflowPunct/>
        <w:topLinePunct w:val="0"/>
        <w:autoSpaceDE w:val="0"/>
        <w:autoSpaceDN w:val="0"/>
        <w:bidi w:val="0"/>
        <w:adjustRightInd/>
        <w:snapToGrid/>
        <w:spacing w:before="0" w:after="0" w:line="360" w:lineRule="auto"/>
        <w:ind w:leftChars="200" w:right="0" w:rightChars="0"/>
        <w:jc w:val="left"/>
        <w:textAlignment w:val="auto"/>
        <w:rPr>
          <w:rFonts w:hint="eastAsia" w:ascii="宋体" w:hAnsi="宋体" w:eastAsia="宋体" w:cs="宋体"/>
          <w:b/>
          <w:color w:val="auto"/>
          <w:sz w:val="24"/>
          <w:szCs w:val="24"/>
          <w:highlight w:val="none"/>
        </w:rPr>
      </w:pPr>
      <w:r>
        <w:rPr>
          <w:rFonts w:hint="eastAsia" w:ascii="宋体" w:hAnsi="宋体" w:eastAsia="宋体" w:cs="宋体"/>
          <w:color w:val="auto"/>
          <w:spacing w:val="10"/>
          <w:sz w:val="24"/>
          <w:szCs w:val="24"/>
          <w:highlight w:val="none"/>
          <w:lang w:val="en-US" w:eastAsia="zh-CN"/>
        </w:rPr>
        <w:t>1、</w:t>
      </w:r>
      <w:r>
        <w:rPr>
          <w:rFonts w:hint="eastAsia" w:ascii="宋体" w:hAnsi="宋体" w:eastAsia="宋体" w:cs="宋体"/>
          <w:color w:val="auto"/>
          <w:spacing w:val="10"/>
          <w:sz w:val="24"/>
          <w:szCs w:val="24"/>
          <w:highlight w:val="none"/>
        </w:rPr>
        <w:t>主要商务要求</w:t>
      </w:r>
    </w:p>
    <w:tbl>
      <w:tblPr>
        <w:tblStyle w:val="19"/>
        <w:tblW w:w="105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86"/>
        <w:gridCol w:w="7765"/>
      </w:tblGrid>
      <w:tr w14:paraId="2861D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786" w:type="dxa"/>
          </w:tcPr>
          <w:p w14:paraId="4A3B9861">
            <w:pPr>
              <w:pStyle w:val="28"/>
              <w:spacing w:before="60"/>
              <w:ind w:left="10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标的提供的时间</w:t>
            </w:r>
          </w:p>
        </w:tc>
        <w:tc>
          <w:tcPr>
            <w:tcW w:w="7765" w:type="dxa"/>
          </w:tcPr>
          <w:p w14:paraId="30DEDF54">
            <w:pPr>
              <w:pStyle w:val="28"/>
              <w:spacing w:before="60"/>
              <w:ind w:left="100"/>
              <w:jc w:val="left"/>
              <w:rPr>
                <w:rFonts w:hint="eastAsia"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巡游出租车运营成本监审（调查）2025年9月30日完成，浮桥通行成本监审（调查）2025年9月30日完成。</w:t>
            </w:r>
          </w:p>
        </w:tc>
      </w:tr>
      <w:tr w14:paraId="432C1A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786" w:type="dxa"/>
          </w:tcPr>
          <w:p w14:paraId="5F5080E6">
            <w:pPr>
              <w:pStyle w:val="28"/>
              <w:spacing w:before="60"/>
              <w:ind w:left="10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标的提供的地点</w:t>
            </w:r>
          </w:p>
        </w:tc>
        <w:tc>
          <w:tcPr>
            <w:tcW w:w="7765" w:type="dxa"/>
          </w:tcPr>
          <w:p w14:paraId="2CD112B0">
            <w:pPr>
              <w:pStyle w:val="28"/>
              <w:spacing w:before="60"/>
              <w:ind w:left="100"/>
              <w:jc w:val="left"/>
              <w:rPr>
                <w:rFonts w:hint="default" w:ascii="宋体" w:hAnsi="宋体" w:eastAsia="宋体" w:cs="宋体"/>
                <w:color w:val="auto"/>
                <w:sz w:val="22"/>
                <w:szCs w:val="22"/>
                <w:highlight w:val="none"/>
                <w:lang w:val="en-US" w:eastAsia="zh-CN"/>
              </w:rPr>
            </w:pPr>
            <w:r>
              <w:rPr>
                <w:rFonts w:hint="eastAsia" w:cs="宋体"/>
                <w:color w:val="auto"/>
                <w:sz w:val="22"/>
                <w:szCs w:val="22"/>
                <w:highlight w:val="none"/>
                <w:lang w:val="en-US" w:eastAsia="zh-CN"/>
              </w:rPr>
              <w:t>乌海市</w:t>
            </w:r>
          </w:p>
        </w:tc>
      </w:tr>
      <w:tr w14:paraId="1B5CD3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jc w:val="center"/>
        </w:trPr>
        <w:tc>
          <w:tcPr>
            <w:tcW w:w="2786" w:type="dxa"/>
          </w:tcPr>
          <w:p w14:paraId="07A91AB9">
            <w:pPr>
              <w:pStyle w:val="28"/>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付款方式</w:t>
            </w:r>
          </w:p>
        </w:tc>
        <w:tc>
          <w:tcPr>
            <w:tcW w:w="7765" w:type="dxa"/>
          </w:tcPr>
          <w:p w14:paraId="16F941BB">
            <w:pPr>
              <w:pStyle w:val="28"/>
              <w:spacing w:before="60"/>
              <w:ind w:left="100"/>
              <w:jc w:val="left"/>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合同中约定</w:t>
            </w:r>
          </w:p>
        </w:tc>
      </w:tr>
      <w:tr w14:paraId="57CE76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786" w:type="dxa"/>
          </w:tcPr>
          <w:p w14:paraId="7651098B">
            <w:pPr>
              <w:pStyle w:val="28"/>
              <w:spacing w:before="60"/>
              <w:ind w:left="10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验收要求</w:t>
            </w:r>
          </w:p>
        </w:tc>
        <w:tc>
          <w:tcPr>
            <w:tcW w:w="7765" w:type="dxa"/>
          </w:tcPr>
          <w:p w14:paraId="656BFA21">
            <w:pPr>
              <w:pStyle w:val="28"/>
              <w:spacing w:before="60"/>
              <w:ind w:left="1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满足采购人要求，</w:t>
            </w:r>
            <w:r>
              <w:rPr>
                <w:rFonts w:hint="eastAsia" w:ascii="宋体" w:hAnsi="宋体" w:eastAsia="宋体" w:cs="宋体"/>
                <w:color w:val="auto"/>
                <w:sz w:val="22"/>
                <w:szCs w:val="22"/>
                <w:highlight w:val="none"/>
              </w:rPr>
              <w:t>合同</w:t>
            </w:r>
            <w:r>
              <w:rPr>
                <w:rFonts w:hint="eastAsia" w:ascii="宋体" w:hAnsi="宋体" w:eastAsia="宋体" w:cs="宋体"/>
                <w:color w:val="auto"/>
                <w:sz w:val="22"/>
                <w:szCs w:val="22"/>
                <w:highlight w:val="none"/>
                <w:lang w:val="en-US" w:eastAsia="zh-CN"/>
              </w:rPr>
              <w:t>中另行约定。</w:t>
            </w:r>
          </w:p>
        </w:tc>
      </w:tr>
      <w:tr w14:paraId="0A0C77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786" w:type="dxa"/>
          </w:tcPr>
          <w:p w14:paraId="3EB9D2A2">
            <w:pPr>
              <w:pStyle w:val="28"/>
              <w:spacing w:before="60"/>
              <w:ind w:left="10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履约保证金</w:t>
            </w:r>
          </w:p>
        </w:tc>
        <w:tc>
          <w:tcPr>
            <w:tcW w:w="7765" w:type="dxa"/>
          </w:tcPr>
          <w:p w14:paraId="2636BD3C">
            <w:pPr>
              <w:pStyle w:val="28"/>
              <w:spacing w:before="60"/>
              <w:ind w:left="1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不收取</w:t>
            </w:r>
          </w:p>
        </w:tc>
      </w:tr>
      <w:tr w14:paraId="3EEC09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8" w:hRule="atLeast"/>
          <w:jc w:val="center"/>
        </w:trPr>
        <w:tc>
          <w:tcPr>
            <w:tcW w:w="2786" w:type="dxa"/>
            <w:vAlign w:val="center"/>
          </w:tcPr>
          <w:p w14:paraId="2FD3A829">
            <w:pPr>
              <w:pStyle w:val="28"/>
              <w:spacing w:before="60"/>
              <w:ind w:left="100"/>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其他</w:t>
            </w:r>
          </w:p>
        </w:tc>
        <w:tc>
          <w:tcPr>
            <w:tcW w:w="7765" w:type="dxa"/>
          </w:tcPr>
          <w:p w14:paraId="2F7CB6FB">
            <w:pPr>
              <w:pStyle w:val="28"/>
              <w:spacing w:before="60"/>
              <w:ind w:left="100"/>
              <w:jc w:val="left"/>
              <w:rPr>
                <w:rFonts w:hint="eastAsia" w:ascii="宋体" w:hAnsi="宋体" w:eastAsia="宋体" w:cs="宋体"/>
                <w:color w:val="auto"/>
                <w:sz w:val="22"/>
                <w:szCs w:val="22"/>
                <w:highlight w:val="none"/>
                <w:lang w:eastAsia="zh-CN"/>
              </w:rPr>
            </w:pPr>
          </w:p>
        </w:tc>
      </w:tr>
    </w:tbl>
    <w:p w14:paraId="24D7B597">
      <w:pPr>
        <w:pStyle w:val="27"/>
        <w:numPr>
          <w:ilvl w:val="0"/>
          <w:numId w:val="0"/>
        </w:numPr>
        <w:tabs>
          <w:tab w:val="left" w:pos="313"/>
        </w:tabs>
        <w:spacing w:before="32" w:after="0" w:line="240" w:lineRule="auto"/>
        <w:ind w:left="105" w:leftChars="0" w:right="0" w:rightChars="0"/>
        <w:jc w:val="left"/>
        <w:rPr>
          <w:rFonts w:hint="eastAsia" w:ascii="宋体" w:hAnsi="宋体" w:eastAsia="宋体" w:cs="宋体"/>
          <w:b/>
          <w:color w:val="auto"/>
          <w:sz w:val="24"/>
          <w:szCs w:val="24"/>
          <w:highlight w:val="none"/>
        </w:rPr>
      </w:pPr>
      <w:r>
        <w:rPr>
          <w:rFonts w:hint="eastAsia" w:ascii="宋体" w:hAnsi="宋体" w:eastAsia="宋体" w:cs="宋体"/>
          <w:b/>
          <w:color w:val="auto"/>
          <w:spacing w:val="8"/>
          <w:sz w:val="24"/>
          <w:szCs w:val="24"/>
          <w:highlight w:val="none"/>
          <w:lang w:val="en-US" w:eastAsia="zh-CN"/>
        </w:rPr>
        <w:t>2、</w:t>
      </w:r>
      <w:r>
        <w:rPr>
          <w:rFonts w:hint="eastAsia" w:ascii="宋体" w:hAnsi="宋体" w:eastAsia="宋体" w:cs="宋体"/>
          <w:b/>
          <w:color w:val="auto"/>
          <w:spacing w:val="8"/>
          <w:sz w:val="24"/>
          <w:szCs w:val="24"/>
          <w:highlight w:val="none"/>
        </w:rPr>
        <w:t>技术要求</w:t>
      </w:r>
    </w:p>
    <w:tbl>
      <w:tblPr>
        <w:tblStyle w:val="19"/>
        <w:tblW w:w="1052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24"/>
        <w:gridCol w:w="3257"/>
        <w:gridCol w:w="781"/>
        <w:gridCol w:w="782"/>
        <w:gridCol w:w="1143"/>
        <w:gridCol w:w="1210"/>
        <w:gridCol w:w="2527"/>
      </w:tblGrid>
      <w:tr w14:paraId="520CDD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1" w:hRule="atLeast"/>
          <w:jc w:val="center"/>
        </w:trPr>
        <w:tc>
          <w:tcPr>
            <w:tcW w:w="824" w:type="dxa"/>
            <w:vAlign w:val="center"/>
          </w:tcPr>
          <w:p w14:paraId="7083F423">
            <w:pPr>
              <w:pStyle w:val="28"/>
              <w:keepNext w:val="0"/>
              <w:keepLines w:val="0"/>
              <w:pageBreakBefore w:val="0"/>
              <w:widowControl w:val="0"/>
              <w:kinsoku/>
              <w:wordWrap/>
              <w:overflowPunct/>
              <w:topLinePunct w:val="0"/>
              <w:autoSpaceDE w:val="0"/>
              <w:autoSpaceDN w:val="0"/>
              <w:bidi w:val="0"/>
              <w:adjustRightInd/>
              <w:snapToGrid/>
              <w:spacing w:line="240" w:lineRule="auto"/>
              <w:ind w:right="104"/>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3257" w:type="dxa"/>
            <w:vAlign w:val="center"/>
          </w:tcPr>
          <w:p w14:paraId="5DFE3FCD">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标的名称</w:t>
            </w:r>
          </w:p>
        </w:tc>
        <w:tc>
          <w:tcPr>
            <w:tcW w:w="781" w:type="dxa"/>
            <w:vAlign w:val="center"/>
          </w:tcPr>
          <w:p w14:paraId="3C36E933">
            <w:pPr>
              <w:pStyle w:val="28"/>
              <w:keepNext w:val="0"/>
              <w:keepLines w:val="0"/>
              <w:pageBreakBefore w:val="0"/>
              <w:widowControl w:val="0"/>
              <w:kinsoku/>
              <w:wordWrap/>
              <w:overflowPunct/>
              <w:topLinePunct w:val="0"/>
              <w:autoSpaceDE w:val="0"/>
              <w:autoSpaceDN w:val="0"/>
              <w:bidi w:val="0"/>
              <w:adjustRightInd/>
              <w:snapToGrid/>
              <w:spacing w:line="240" w:lineRule="auto"/>
              <w:ind w:right="103"/>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单位</w:t>
            </w:r>
          </w:p>
        </w:tc>
        <w:tc>
          <w:tcPr>
            <w:tcW w:w="782" w:type="dxa"/>
            <w:vAlign w:val="center"/>
          </w:tcPr>
          <w:p w14:paraId="64EA393D">
            <w:pPr>
              <w:pStyle w:val="28"/>
              <w:keepNext w:val="0"/>
              <w:keepLines w:val="0"/>
              <w:pageBreakBefore w:val="0"/>
              <w:widowControl w:val="0"/>
              <w:kinsoku/>
              <w:wordWrap/>
              <w:overflowPunct/>
              <w:topLinePunct w:val="0"/>
              <w:autoSpaceDE w:val="0"/>
              <w:autoSpaceDN w:val="0"/>
              <w:bidi w:val="0"/>
              <w:adjustRightInd/>
              <w:snapToGrid/>
              <w:spacing w:line="240" w:lineRule="auto"/>
              <w:ind w:right="148"/>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1143" w:type="dxa"/>
            <w:vAlign w:val="center"/>
          </w:tcPr>
          <w:p w14:paraId="2433433C">
            <w:pPr>
              <w:pStyle w:val="28"/>
              <w:keepNext w:val="0"/>
              <w:keepLines w:val="0"/>
              <w:pageBreakBefore w:val="0"/>
              <w:widowControl w:val="0"/>
              <w:kinsoku/>
              <w:wordWrap/>
              <w:overflowPunct/>
              <w:topLinePunct w:val="0"/>
              <w:autoSpaceDE w:val="0"/>
              <w:autoSpaceDN w:val="0"/>
              <w:bidi w:val="0"/>
              <w:adjustRightInd/>
              <w:snapToGrid/>
              <w:spacing w:line="240" w:lineRule="auto"/>
              <w:ind w:left="188" w:right="189"/>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分项预算单价（元</w:t>
            </w:r>
            <w:r>
              <w:rPr>
                <w:rFonts w:hint="eastAsia" w:ascii="宋体" w:hAnsi="宋体" w:eastAsia="宋体" w:cs="宋体"/>
                <w:b/>
                <w:color w:val="auto"/>
                <w:w w:val="100"/>
                <w:sz w:val="24"/>
                <w:szCs w:val="24"/>
                <w:highlight w:val="none"/>
              </w:rPr>
              <w:t>）</w:t>
            </w:r>
          </w:p>
        </w:tc>
        <w:tc>
          <w:tcPr>
            <w:tcW w:w="1210" w:type="dxa"/>
            <w:vAlign w:val="center"/>
          </w:tcPr>
          <w:p w14:paraId="4BBC39EA">
            <w:pPr>
              <w:pStyle w:val="28"/>
              <w:keepNext w:val="0"/>
              <w:keepLines w:val="0"/>
              <w:pageBreakBefore w:val="0"/>
              <w:widowControl w:val="0"/>
              <w:kinsoku/>
              <w:wordWrap/>
              <w:overflowPunct/>
              <w:topLinePunct w:val="0"/>
              <w:autoSpaceDE w:val="0"/>
              <w:autoSpaceDN w:val="0"/>
              <w:bidi w:val="0"/>
              <w:adjustRightInd/>
              <w:snapToGrid/>
              <w:spacing w:line="240" w:lineRule="auto"/>
              <w:ind w:left="189" w:right="188"/>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分项预算总价（元</w:t>
            </w:r>
            <w:r>
              <w:rPr>
                <w:rFonts w:hint="eastAsia" w:ascii="宋体" w:hAnsi="宋体" w:eastAsia="宋体" w:cs="宋体"/>
                <w:b/>
                <w:color w:val="auto"/>
                <w:w w:val="100"/>
                <w:sz w:val="24"/>
                <w:szCs w:val="24"/>
                <w:highlight w:val="none"/>
              </w:rPr>
              <w:t>）</w:t>
            </w:r>
          </w:p>
        </w:tc>
        <w:tc>
          <w:tcPr>
            <w:tcW w:w="2527" w:type="dxa"/>
            <w:vAlign w:val="center"/>
          </w:tcPr>
          <w:p w14:paraId="5184F85B">
            <w:pPr>
              <w:pStyle w:val="28"/>
              <w:keepNext w:val="0"/>
              <w:keepLines w:val="0"/>
              <w:pageBreakBefore w:val="0"/>
              <w:widowControl w:val="0"/>
              <w:kinsoku/>
              <w:wordWrap/>
              <w:overflowPunct/>
              <w:topLinePunct w:val="0"/>
              <w:autoSpaceDE w:val="0"/>
              <w:autoSpaceDN w:val="0"/>
              <w:bidi w:val="0"/>
              <w:adjustRightInd/>
              <w:snapToGrid/>
              <w:spacing w:line="240" w:lineRule="auto"/>
              <w:ind w:left="151" w:right="142"/>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所属行</w:t>
            </w:r>
            <w:r>
              <w:rPr>
                <w:rFonts w:hint="eastAsia" w:ascii="宋体" w:hAnsi="宋体" w:eastAsia="宋体" w:cs="宋体"/>
                <w:b/>
                <w:color w:val="auto"/>
                <w:w w:val="100"/>
                <w:sz w:val="24"/>
                <w:szCs w:val="24"/>
                <w:highlight w:val="none"/>
              </w:rPr>
              <w:t>业</w:t>
            </w:r>
          </w:p>
        </w:tc>
      </w:tr>
      <w:tr w14:paraId="3C7522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824" w:type="dxa"/>
            <w:vAlign w:val="center"/>
          </w:tcPr>
          <w:p w14:paraId="62B735C6">
            <w:pPr>
              <w:pStyle w:val="28"/>
              <w:keepNext w:val="0"/>
              <w:keepLines w:val="0"/>
              <w:pageBreakBefore w:val="0"/>
              <w:widowControl w:val="0"/>
              <w:kinsoku/>
              <w:wordWrap/>
              <w:overflowPunct/>
              <w:topLinePunct w:val="0"/>
              <w:autoSpaceDE w:val="0"/>
              <w:autoSpaceDN w:val="0"/>
              <w:bidi w:val="0"/>
              <w:adjustRightInd/>
              <w:snapToGrid/>
              <w:spacing w:before="11" w:line="240" w:lineRule="auto"/>
              <w:jc w:val="center"/>
              <w:textAlignment w:val="auto"/>
              <w:rPr>
                <w:rFonts w:hint="eastAsia" w:ascii="宋体" w:hAnsi="宋体" w:eastAsia="宋体" w:cs="宋体"/>
                <w:b/>
                <w:color w:val="auto"/>
                <w:sz w:val="24"/>
                <w:szCs w:val="24"/>
                <w:highlight w:val="none"/>
              </w:rPr>
            </w:pPr>
          </w:p>
          <w:p w14:paraId="2D5280FB">
            <w:pPr>
              <w:pStyle w:val="28"/>
              <w:keepNext w:val="0"/>
              <w:keepLines w:val="0"/>
              <w:pageBreakBefore w:val="0"/>
              <w:widowControl w:val="0"/>
              <w:kinsoku/>
              <w:wordWrap/>
              <w:overflowPunct/>
              <w:topLinePunct w:val="0"/>
              <w:autoSpaceDE w:val="0"/>
              <w:autoSpaceDN w:val="0"/>
              <w:bidi w:val="0"/>
              <w:adjustRightInd/>
              <w:snapToGrid/>
              <w:spacing w:line="240" w:lineRule="auto"/>
              <w:ind w:left="142"/>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w w:val="103"/>
                <w:sz w:val="24"/>
                <w:szCs w:val="24"/>
                <w:highlight w:val="none"/>
              </w:rPr>
              <w:t>1</w:t>
            </w:r>
          </w:p>
        </w:tc>
        <w:tc>
          <w:tcPr>
            <w:tcW w:w="3257" w:type="dxa"/>
            <w:vAlign w:val="center"/>
          </w:tcPr>
          <w:p w14:paraId="6DB9A6EB">
            <w:pPr>
              <w:pStyle w:val="28"/>
              <w:keepNext w:val="0"/>
              <w:keepLines w:val="0"/>
              <w:pageBreakBefore w:val="0"/>
              <w:widowControl w:val="0"/>
              <w:kinsoku/>
              <w:wordWrap/>
              <w:overflowPunct/>
              <w:topLinePunct w:val="0"/>
              <w:autoSpaceDE w:val="0"/>
              <w:autoSpaceDN w:val="0"/>
              <w:bidi w:val="0"/>
              <w:adjustRightInd/>
              <w:snapToGrid/>
              <w:spacing w:line="240" w:lineRule="auto"/>
              <w:ind w:left="101" w:right="166"/>
              <w:jc w:val="center"/>
              <w:textAlignment w:val="auto"/>
              <w:rPr>
                <w:rFonts w:hint="eastAsia" w:ascii="宋体" w:hAnsi="宋体" w:eastAsia="宋体" w:cs="宋体"/>
                <w:color w:val="auto"/>
                <w:sz w:val="24"/>
                <w:szCs w:val="24"/>
                <w:highlight w:val="none"/>
                <w:lang w:eastAsia="zh-CN"/>
              </w:rPr>
            </w:pPr>
            <w:r>
              <w:rPr>
                <w:rFonts w:hint="eastAsia" w:cs="宋体"/>
                <w:color w:val="auto"/>
                <w:sz w:val="24"/>
                <w:szCs w:val="24"/>
                <w:highlight w:val="none"/>
                <w:lang w:eastAsia="zh-CN"/>
              </w:rPr>
              <w:t>2022年-2024年巡游出租车运营成本、浮桥通行成本监审（调查）项目</w:t>
            </w:r>
          </w:p>
        </w:tc>
        <w:tc>
          <w:tcPr>
            <w:tcW w:w="781" w:type="dxa"/>
            <w:vAlign w:val="center"/>
          </w:tcPr>
          <w:p w14:paraId="1A5D81FB">
            <w:pPr>
              <w:pStyle w:val="28"/>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w w:val="101"/>
                <w:sz w:val="24"/>
                <w:szCs w:val="24"/>
                <w:highlight w:val="none"/>
              </w:rPr>
              <w:t>项</w:t>
            </w:r>
          </w:p>
        </w:tc>
        <w:tc>
          <w:tcPr>
            <w:tcW w:w="782" w:type="dxa"/>
            <w:vAlign w:val="center"/>
          </w:tcPr>
          <w:p w14:paraId="4AAEFD42">
            <w:pPr>
              <w:pStyle w:val="28"/>
              <w:keepNext w:val="0"/>
              <w:keepLines w:val="0"/>
              <w:pageBreakBefore w:val="0"/>
              <w:widowControl w:val="0"/>
              <w:kinsoku/>
              <w:wordWrap/>
              <w:overflowPunct/>
              <w:topLinePunct w:val="0"/>
              <w:autoSpaceDE w:val="0"/>
              <w:autoSpaceDN w:val="0"/>
              <w:bidi w:val="0"/>
              <w:adjustRightInd/>
              <w:snapToGrid/>
              <w:spacing w:before="16" w:line="240" w:lineRule="auto"/>
              <w:ind w:right="80"/>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1143" w:type="dxa"/>
            <w:vAlign w:val="center"/>
          </w:tcPr>
          <w:p w14:paraId="5E986F3A">
            <w:pPr>
              <w:pStyle w:val="28"/>
              <w:keepNext w:val="0"/>
              <w:keepLines w:val="0"/>
              <w:pageBreakBefore w:val="0"/>
              <w:widowControl w:val="0"/>
              <w:kinsoku/>
              <w:wordWrap/>
              <w:overflowPunct/>
              <w:topLinePunct w:val="0"/>
              <w:autoSpaceDE w:val="0"/>
              <w:autoSpaceDN w:val="0"/>
              <w:bidi w:val="0"/>
              <w:adjustRightInd/>
              <w:snapToGrid/>
              <w:spacing w:before="15" w:line="240" w:lineRule="auto"/>
              <w:ind w:right="79"/>
              <w:jc w:val="center"/>
              <w:textAlignment w:val="auto"/>
              <w:rPr>
                <w:rFonts w:hint="default"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120000</w:t>
            </w:r>
          </w:p>
        </w:tc>
        <w:tc>
          <w:tcPr>
            <w:tcW w:w="1210" w:type="dxa"/>
            <w:vAlign w:val="center"/>
          </w:tcPr>
          <w:p w14:paraId="4522260C">
            <w:pPr>
              <w:pStyle w:val="28"/>
              <w:keepNext w:val="0"/>
              <w:keepLines w:val="0"/>
              <w:pageBreakBefore w:val="0"/>
              <w:widowControl w:val="0"/>
              <w:kinsoku/>
              <w:wordWrap/>
              <w:overflowPunct/>
              <w:topLinePunct w:val="0"/>
              <w:autoSpaceDE w:val="0"/>
              <w:autoSpaceDN w:val="0"/>
              <w:bidi w:val="0"/>
              <w:adjustRightInd/>
              <w:snapToGrid/>
              <w:spacing w:before="15" w:line="240" w:lineRule="auto"/>
              <w:ind w:right="78"/>
              <w:jc w:val="center"/>
              <w:textAlignment w:val="auto"/>
              <w:rPr>
                <w:rFonts w:hint="default"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120000</w:t>
            </w:r>
          </w:p>
        </w:tc>
        <w:tc>
          <w:tcPr>
            <w:tcW w:w="2527" w:type="dxa"/>
            <w:vAlign w:val="center"/>
          </w:tcPr>
          <w:p w14:paraId="7D42F716">
            <w:pPr>
              <w:pStyle w:val="28"/>
              <w:keepNext w:val="0"/>
              <w:keepLines w:val="0"/>
              <w:pageBreakBefore w:val="0"/>
              <w:widowControl w:val="0"/>
              <w:kinsoku/>
              <w:wordWrap/>
              <w:overflowPunct/>
              <w:topLinePunct w:val="0"/>
              <w:autoSpaceDE w:val="0"/>
              <w:autoSpaceDN w:val="0"/>
              <w:bidi w:val="0"/>
              <w:adjustRightInd/>
              <w:snapToGrid/>
              <w:spacing w:before="4" w:line="240" w:lineRule="auto"/>
              <w:ind w:left="109" w:right="196"/>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其他未列明行业</w:t>
            </w:r>
          </w:p>
        </w:tc>
      </w:tr>
    </w:tbl>
    <w:p w14:paraId="0116AFFE">
      <w:pPr>
        <w:spacing w:before="32"/>
        <w:ind w:left="100" w:right="0" w:firstLine="0"/>
        <w:jc w:val="left"/>
        <w:rPr>
          <w:rFonts w:hint="eastAsia" w:ascii="宋体" w:hAnsi="宋体" w:eastAsia="宋体" w:cs="宋体"/>
          <w:color w:val="auto"/>
          <w:sz w:val="24"/>
          <w:szCs w:val="24"/>
          <w:highlight w:val="none"/>
          <w:lang w:val="en-US" w:eastAsia="zh-CN" w:bidi="ar-SA"/>
        </w:rPr>
      </w:pPr>
      <w:r>
        <w:rPr>
          <w:rFonts w:hint="eastAsia" w:ascii="宋体" w:hAnsi="宋体" w:eastAsia="宋体" w:cs="宋体"/>
          <w:b/>
          <w:bCs/>
          <w:color w:val="auto"/>
          <w:sz w:val="24"/>
          <w:szCs w:val="24"/>
          <w:highlight w:val="none"/>
          <w:lang w:val="en-US" w:eastAsia="zh-CN" w:bidi="ar-SA"/>
        </w:rPr>
        <w:t>附表一：</w:t>
      </w:r>
      <w:r>
        <w:rPr>
          <w:rFonts w:hint="eastAsia" w:cs="宋体"/>
          <w:color w:val="auto"/>
          <w:sz w:val="24"/>
          <w:szCs w:val="24"/>
          <w:highlight w:val="none"/>
          <w:lang w:val="en-US" w:eastAsia="zh-CN" w:bidi="ar-SA"/>
        </w:rPr>
        <w:t>2022年-2024年巡游出租车运营成本、浮桥通行成本监审（调查）项目</w:t>
      </w:r>
      <w:r>
        <w:rPr>
          <w:rFonts w:hint="eastAsia" w:ascii="宋体" w:hAnsi="宋体" w:eastAsia="宋体" w:cs="宋体"/>
          <w:color w:val="auto"/>
          <w:sz w:val="24"/>
          <w:szCs w:val="24"/>
          <w:highlight w:val="none"/>
          <w:lang w:val="en-US" w:eastAsia="zh-CN" w:bidi="ar-SA"/>
        </w:rPr>
        <w:t xml:space="preserve">         </w:t>
      </w:r>
    </w:p>
    <w:tbl>
      <w:tblPr>
        <w:tblStyle w:val="19"/>
        <w:tblW w:w="1055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6"/>
        <w:gridCol w:w="579"/>
        <w:gridCol w:w="9288"/>
      </w:tblGrid>
      <w:tr w14:paraId="66E345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5" w:hRule="atLeast"/>
          <w:jc w:val="center"/>
        </w:trPr>
        <w:tc>
          <w:tcPr>
            <w:tcW w:w="686" w:type="dxa"/>
            <w:vAlign w:val="center"/>
          </w:tcPr>
          <w:p w14:paraId="136DA42C">
            <w:pPr>
              <w:pStyle w:val="28"/>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参数性质</w:t>
            </w:r>
          </w:p>
        </w:tc>
        <w:tc>
          <w:tcPr>
            <w:tcW w:w="579" w:type="dxa"/>
            <w:vAlign w:val="center"/>
          </w:tcPr>
          <w:p w14:paraId="782EE057">
            <w:pPr>
              <w:pStyle w:val="28"/>
              <w:spacing w:before="60"/>
              <w:ind w:left="100"/>
              <w:jc w:val="center"/>
              <w:rPr>
                <w:rFonts w:hint="eastAsia" w:ascii="宋体" w:hAnsi="宋体" w:eastAsia="宋体" w:cs="宋体"/>
                <w:color w:val="auto"/>
                <w:sz w:val="24"/>
                <w:szCs w:val="24"/>
                <w:highlight w:val="none"/>
              </w:rPr>
            </w:pPr>
            <w:r>
              <w:rPr>
                <w:rFonts w:hint="eastAsia" w:ascii="宋体" w:hAnsi="宋体" w:eastAsia="宋体" w:cs="宋体"/>
                <w:color w:val="auto"/>
                <w:w w:val="101"/>
                <w:sz w:val="24"/>
                <w:szCs w:val="24"/>
                <w:highlight w:val="none"/>
              </w:rPr>
              <w:t>序号</w:t>
            </w:r>
          </w:p>
        </w:tc>
        <w:tc>
          <w:tcPr>
            <w:tcW w:w="9288" w:type="dxa"/>
            <w:vAlign w:val="center"/>
          </w:tcPr>
          <w:p w14:paraId="5A0EEA14">
            <w:pPr>
              <w:pStyle w:val="28"/>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具体技术(参数)要求</w:t>
            </w:r>
          </w:p>
        </w:tc>
      </w:tr>
      <w:tr w14:paraId="49F625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6" w:hRule="atLeast"/>
          <w:jc w:val="center"/>
        </w:trPr>
        <w:tc>
          <w:tcPr>
            <w:tcW w:w="686" w:type="dxa"/>
            <w:vAlign w:val="center"/>
          </w:tcPr>
          <w:p w14:paraId="41E67DC1">
            <w:pPr>
              <w:pStyle w:val="28"/>
              <w:spacing w:before="60"/>
              <w:ind w:left="100"/>
              <w:jc w:val="center"/>
              <w:rPr>
                <w:rFonts w:hint="eastAsia" w:ascii="宋体" w:hAnsi="宋体" w:eastAsia="宋体" w:cs="宋体"/>
                <w:color w:val="auto"/>
                <w:sz w:val="24"/>
                <w:szCs w:val="24"/>
                <w:highlight w:val="none"/>
                <w:lang w:val="en-US" w:eastAsia="zh-CN"/>
              </w:rPr>
            </w:pPr>
          </w:p>
        </w:tc>
        <w:tc>
          <w:tcPr>
            <w:tcW w:w="579" w:type="dxa"/>
            <w:vAlign w:val="center"/>
          </w:tcPr>
          <w:p w14:paraId="3F253002">
            <w:pPr>
              <w:pStyle w:val="28"/>
              <w:spacing w:before="24" w:line="337" w:lineRule="exact"/>
              <w:ind w:left="100"/>
              <w:jc w:val="center"/>
              <w:rPr>
                <w:rFonts w:hint="eastAsia" w:ascii="宋体" w:hAnsi="宋体" w:eastAsia="宋体" w:cs="宋体"/>
                <w:color w:val="auto"/>
                <w:w w:val="105"/>
                <w:sz w:val="24"/>
                <w:szCs w:val="24"/>
                <w:highlight w:val="none"/>
                <w:lang w:val="en-US" w:eastAsia="zh-CN"/>
              </w:rPr>
            </w:pPr>
            <w:r>
              <w:rPr>
                <w:rFonts w:hint="eastAsia" w:cs="宋体"/>
                <w:color w:val="auto"/>
                <w:w w:val="105"/>
                <w:sz w:val="24"/>
                <w:szCs w:val="24"/>
                <w:highlight w:val="none"/>
                <w:lang w:val="en-US" w:eastAsia="zh-CN"/>
              </w:rPr>
              <w:t>1</w:t>
            </w:r>
          </w:p>
        </w:tc>
        <w:tc>
          <w:tcPr>
            <w:tcW w:w="9288" w:type="dxa"/>
            <w:vAlign w:val="center"/>
          </w:tcPr>
          <w:p w14:paraId="317ACA5E">
            <w:pPr>
              <w:pStyle w:val="28"/>
              <w:spacing w:before="24" w:line="337" w:lineRule="exact"/>
              <w:jc w:val="both"/>
              <w:rPr>
                <w:rFonts w:hint="eastAsia" w:ascii="宋体" w:hAnsi="宋体" w:eastAsia="宋体" w:cs="宋体"/>
                <w:color w:val="auto"/>
                <w:w w:val="105"/>
                <w:sz w:val="24"/>
                <w:szCs w:val="24"/>
                <w:highlight w:val="none"/>
                <w:lang w:val="en-US" w:eastAsia="zh-CN"/>
              </w:rPr>
            </w:pPr>
            <w:r>
              <w:rPr>
                <w:rFonts w:hint="eastAsia" w:cs="宋体"/>
                <w:color w:val="auto"/>
                <w:w w:val="105"/>
                <w:sz w:val="24"/>
                <w:szCs w:val="24"/>
                <w:highlight w:val="none"/>
                <w:lang w:val="en-US" w:eastAsia="zh-CN"/>
              </w:rPr>
              <w:t>巡游出租车运营成本监审：1、对出租车公司报送的《客运出和车运行情况表》合法性、相关性、合理性进行审核；2、对符合规定的《客运出租车运行情况表》进行抽样；3、按相关的文件规定对出租车的运行成本进行测算；4、出具成本测算报告。</w:t>
            </w:r>
          </w:p>
        </w:tc>
      </w:tr>
      <w:tr w14:paraId="20B9DA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6" w:hRule="atLeast"/>
          <w:jc w:val="center"/>
        </w:trPr>
        <w:tc>
          <w:tcPr>
            <w:tcW w:w="686" w:type="dxa"/>
            <w:vAlign w:val="center"/>
          </w:tcPr>
          <w:p w14:paraId="7C29D51A">
            <w:pPr>
              <w:pStyle w:val="28"/>
              <w:spacing w:before="24" w:line="337" w:lineRule="exact"/>
              <w:ind w:left="100"/>
              <w:jc w:val="both"/>
              <w:rPr>
                <w:rFonts w:hint="eastAsia" w:ascii="宋体" w:hAnsi="宋体" w:eastAsia="宋体" w:cs="宋体"/>
                <w:color w:val="auto"/>
                <w:sz w:val="24"/>
                <w:szCs w:val="24"/>
                <w:highlight w:val="none"/>
                <w:lang w:val="en-US" w:eastAsia="zh-CN"/>
              </w:rPr>
            </w:pPr>
          </w:p>
        </w:tc>
        <w:tc>
          <w:tcPr>
            <w:tcW w:w="579" w:type="dxa"/>
            <w:vAlign w:val="center"/>
          </w:tcPr>
          <w:p w14:paraId="78CD94AB">
            <w:pPr>
              <w:pStyle w:val="28"/>
              <w:spacing w:before="24" w:line="337" w:lineRule="exact"/>
              <w:ind w:left="100"/>
              <w:jc w:val="center"/>
              <w:rPr>
                <w:rFonts w:hint="default"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2</w:t>
            </w:r>
          </w:p>
        </w:tc>
        <w:tc>
          <w:tcPr>
            <w:tcW w:w="9288" w:type="dxa"/>
            <w:vAlign w:val="center"/>
          </w:tcPr>
          <w:p w14:paraId="01B41DCC">
            <w:pPr>
              <w:pStyle w:val="28"/>
              <w:spacing w:before="24" w:line="337" w:lineRule="exact"/>
              <w:jc w:val="both"/>
              <w:rPr>
                <w:rFonts w:hint="eastAsia" w:ascii="宋体" w:hAnsi="宋体" w:eastAsia="宋体" w:cs="宋体"/>
                <w:color w:val="auto"/>
                <w:sz w:val="24"/>
                <w:szCs w:val="24"/>
                <w:highlight w:val="none"/>
                <w:lang w:val="en-US" w:eastAsia="zh-CN"/>
              </w:rPr>
            </w:pPr>
            <w:r>
              <w:rPr>
                <w:rFonts w:hint="eastAsia" w:cs="宋体"/>
                <w:color w:val="auto"/>
                <w:w w:val="105"/>
                <w:sz w:val="24"/>
                <w:szCs w:val="24"/>
                <w:highlight w:val="none"/>
                <w:lang w:val="en-US" w:eastAsia="zh-CN"/>
              </w:rPr>
              <w:t>浮桥通行成本监审：对企业财务帐簿和会计报表及凭证进行审核；主要是审核每项支出的业务属性是否正确归类、是否符合会计制度和会计准则的规定，执行有关政策是否前后一致等。其次，通过与被调查单位了解，实地调查核算，对运行过程的成本费用和政府补助做重要审核。成本审核过程道循合法性、相关性和合理性的原则；按照合理的方法对成本进行归集和分摊后，测算浮桥的运行维护成本，并出具成本测算报告。再将两个民营企业审核后的成本费用进行汇总，加权计算出浮桥的运行维护成本。</w:t>
            </w:r>
          </w:p>
        </w:tc>
      </w:tr>
      <w:tr w14:paraId="01A603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1" w:hRule="atLeast"/>
          <w:jc w:val="center"/>
        </w:trPr>
        <w:tc>
          <w:tcPr>
            <w:tcW w:w="686" w:type="dxa"/>
            <w:vAlign w:val="center"/>
          </w:tcPr>
          <w:p w14:paraId="0677D95C">
            <w:pPr>
              <w:pStyle w:val="28"/>
              <w:spacing w:before="60"/>
              <w:ind w:left="1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c>
          <w:tcPr>
            <w:tcW w:w="9867" w:type="dxa"/>
            <w:gridSpan w:val="2"/>
            <w:vAlign w:val="center"/>
          </w:tcPr>
          <w:p w14:paraId="02ADEB58">
            <w:pPr>
              <w:pStyle w:val="28"/>
              <w:spacing w:before="24" w:line="337" w:lineRule="exact"/>
              <w:ind w:left="100"/>
              <w:jc w:val="both"/>
              <w:rPr>
                <w:rFonts w:hint="eastAsia" w:ascii="宋体" w:hAnsi="宋体" w:eastAsia="宋体" w:cs="宋体"/>
                <w:color w:val="auto"/>
                <w:sz w:val="24"/>
                <w:szCs w:val="24"/>
                <w:highlight w:val="none"/>
              </w:rPr>
            </w:pPr>
            <w:r>
              <w:rPr>
                <w:rFonts w:hint="eastAsia" w:ascii="宋体" w:hAnsi="宋体" w:eastAsia="宋体" w:cs="宋体"/>
                <w:color w:val="auto"/>
                <w:w w:val="105"/>
                <w:sz w:val="24"/>
                <w:szCs w:val="24"/>
                <w:highlight w:val="none"/>
              </w:rPr>
              <w:t>打“★”号条款为实质性条款，若有任何一条负偏离或不满足则导致响应无效。</w:t>
            </w:r>
          </w:p>
        </w:tc>
      </w:tr>
    </w:tbl>
    <w:p w14:paraId="1CE3EAEB">
      <w:pPr>
        <w:pStyle w:val="24"/>
        <w:sectPr>
          <w:pgSz w:w="11900" w:h="16840"/>
          <w:pgMar w:top="1599" w:right="1259" w:bottom="1599" w:left="1259" w:header="720" w:footer="91" w:gutter="0"/>
          <w:pgNumType w:fmt="decimal"/>
          <w:cols w:space="0" w:num="1"/>
          <w:rtlGutter w:val="0"/>
          <w:docGrid w:linePitch="0" w:charSpace="0"/>
        </w:sectPr>
      </w:pPr>
    </w:p>
    <w:p w14:paraId="44C73F87">
      <w:pPr>
        <w:pStyle w:val="2"/>
        <w:rPr>
          <w:color w:val="auto"/>
          <w:highlight w:val="none"/>
        </w:rPr>
      </w:pPr>
      <w:bookmarkStart w:id="147" w:name="_Toc8437"/>
      <w:r>
        <w:rPr>
          <w:color w:val="auto"/>
          <w:highlight w:val="none"/>
        </w:rPr>
        <w:t>第四章 供应商应当提交的资格、资信证明文件</w:t>
      </w:r>
      <w:bookmarkEnd w:id="147"/>
    </w:p>
    <w:p w14:paraId="62D182DE">
      <w:pPr>
        <w:pStyle w:val="9"/>
        <w:spacing w:before="8"/>
        <w:ind w:left="0"/>
        <w:rPr>
          <w:b/>
          <w:color w:val="auto"/>
          <w:sz w:val="33"/>
          <w:highlight w:val="none"/>
        </w:rPr>
      </w:pPr>
    </w:p>
    <w:p w14:paraId="1A4D254C">
      <w:pPr>
        <w:pStyle w:val="9"/>
        <w:spacing w:line="360" w:lineRule="auto"/>
        <w:ind w:left="106" w:right="149" w:firstLine="38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供应商应提交证明其有资格参加磋商和成交后有能力履行合同的相关文件，并作为其响应文件的一部分，所有文件必须真实可靠、不得伪造，否则将按相关规定予以处罚。</w:t>
      </w:r>
    </w:p>
    <w:p w14:paraId="69DDBBB0">
      <w:pPr>
        <w:pStyle w:val="9"/>
        <w:spacing w:line="360" w:lineRule="auto"/>
        <w:ind w:left="106" w:firstLine="384"/>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一、法人或者其他组织的营业执照等证明文件，自然人的身份证明。法人包括企业法人、机关法人、事业单位法人和社会</w:t>
      </w:r>
    </w:p>
    <w:p w14:paraId="2F48594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团体法人；其他组织主要包括合伙企业、非企业专业服务机构、个体工商户、农村承包经营户；自然人是指具有完全民事行为</w:t>
      </w:r>
      <w:r>
        <w:rPr>
          <w:rFonts w:hint="eastAsia" w:ascii="宋体" w:hAnsi="宋体" w:eastAsia="宋体" w:cs="宋体"/>
          <w:color w:val="auto"/>
          <w:sz w:val="24"/>
          <w:szCs w:val="24"/>
          <w:highlight w:val="none"/>
        </w:rPr>
        <w:t>能力、能够承担民事责任和义务的公民。如供应商是企业（包括合伙企业），要提供在市场监督管理部门注册的有效</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企业法 人营业执照</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或</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营业执照”；如供应商是事业单位，要提供有效的</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事业单位法人证书”；供应商是非企业专业服务机构，如律 师事务所、会计师事务所，要提供有效的执业许可证等证明文件；如供应商是个体工商户，要提供有效的</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个体工商户营业执 照”；如供应商是自然人，要提供有效的自然人身份证明。分公司不是独立法人，不具备政府采购法第二十二条规定的供应商应当具备独立承担民事责任能力的条件。分公司经总公司授权，可以以分公司的名义参加政府采购活动，但其民事责任由总公司承担。</w:t>
      </w:r>
    </w:p>
    <w:p w14:paraId="73297B15">
      <w:pPr>
        <w:pStyle w:val="9"/>
        <w:keepNext w:val="0"/>
        <w:keepLines w:val="0"/>
        <w:pageBreakBefore w:val="0"/>
        <w:widowControl w:val="0"/>
        <w:numPr>
          <w:ilvl w:val="0"/>
          <w:numId w:val="5"/>
        </w:numPr>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财务状况报告，依法缴纳税收和社会保障资金的相关材料（详见资格审查表） </w:t>
      </w:r>
    </w:p>
    <w:p w14:paraId="4E238F10">
      <w:pPr>
        <w:pStyle w:val="9"/>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三、具备履行合同所必需的设备和专业技术能力的证明材料。</w:t>
      </w:r>
    </w:p>
    <w:p w14:paraId="2E9F39C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四、参加政府采购活动前3年内在经营活动中没有重大违法记录的书面声明。</w:t>
      </w:r>
    </w:p>
    <w:p w14:paraId="7795270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五、按照磋商文件要求，供应商应当提交的其他资格、资信证明文件。</w:t>
      </w:r>
    </w:p>
    <w:p w14:paraId="098D2E74">
      <w:pPr>
        <w:spacing w:after="0"/>
        <w:rPr>
          <w:color w:val="auto"/>
          <w:highlight w:val="none"/>
        </w:rPr>
        <w:sectPr>
          <w:pgSz w:w="11900" w:h="16840"/>
          <w:pgMar w:top="1599" w:right="1259" w:bottom="1599" w:left="1259" w:header="720" w:footer="91" w:gutter="0"/>
          <w:pgNumType w:fmt="decimal"/>
          <w:cols w:space="0" w:num="1"/>
          <w:rtlGutter w:val="0"/>
          <w:docGrid w:linePitch="0" w:charSpace="0"/>
        </w:sectPr>
      </w:pPr>
    </w:p>
    <w:p w14:paraId="5664CE92">
      <w:pPr>
        <w:pStyle w:val="2"/>
        <w:rPr>
          <w:color w:val="auto"/>
          <w:highlight w:val="none"/>
        </w:rPr>
      </w:pPr>
      <w:bookmarkStart w:id="148" w:name="_Toc30766"/>
      <w:r>
        <w:rPr>
          <w:color w:val="auto"/>
          <w:highlight w:val="none"/>
        </w:rPr>
        <w:t>第五章 评审</w:t>
      </w:r>
      <w:bookmarkEnd w:id="148"/>
    </w:p>
    <w:p w14:paraId="3E14CAFE">
      <w:pPr>
        <w:pStyle w:val="9"/>
        <w:spacing w:before="2"/>
        <w:ind w:left="0"/>
        <w:rPr>
          <w:b/>
          <w:color w:val="auto"/>
          <w:sz w:val="21"/>
          <w:highlight w:val="none"/>
        </w:rPr>
      </w:pPr>
    </w:p>
    <w:p w14:paraId="030EB18B">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bookmarkStart w:id="149" w:name="_Toc20261"/>
      <w:bookmarkStart w:id="150" w:name="_Toc15948"/>
      <w:bookmarkStart w:id="151" w:name="_Toc24027"/>
      <w:bookmarkStart w:id="152" w:name="_Toc26537"/>
      <w:bookmarkStart w:id="153" w:name="_Toc29812"/>
      <w:r>
        <w:rPr>
          <w:rFonts w:hint="eastAsia" w:ascii="宋体" w:hAnsi="宋体" w:eastAsia="宋体" w:cs="宋体"/>
          <w:color w:val="auto"/>
          <w:sz w:val="24"/>
          <w:szCs w:val="24"/>
          <w:highlight w:val="none"/>
        </w:rPr>
        <w:t>一、评审要求</w:t>
      </w:r>
      <w:bookmarkEnd w:id="149"/>
      <w:bookmarkEnd w:id="150"/>
      <w:bookmarkEnd w:id="151"/>
      <w:bookmarkEnd w:id="152"/>
      <w:bookmarkEnd w:id="153"/>
    </w:p>
    <w:p w14:paraId="7A463C73">
      <w:pPr>
        <w:pStyle w:val="27"/>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8"/>
          <w:sz w:val="24"/>
          <w:szCs w:val="24"/>
          <w:highlight w:val="none"/>
        </w:rPr>
        <w:t>评审方法</w:t>
      </w:r>
    </w:p>
    <w:p w14:paraId="25C12BA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磋商小组采用综合评分法对提交最后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的供应商的响应文件和最后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进行综合评分。综合评分法，是指响应文件满足磋商文件全部实质性要求且按评审因素的量化指标评审得分最高的供应商为成交候选供应商的评审方法。</w:t>
      </w:r>
    </w:p>
    <w:p w14:paraId="5F2C5C3D">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rFonts w:hint="eastAsia" w:ascii="宋体" w:hAnsi="宋体" w:eastAsia="宋体" w:cs="宋体"/>
          <w:color w:val="auto"/>
          <w:sz w:val="24"/>
          <w:szCs w:val="24"/>
          <w:highlight w:val="none"/>
        </w:rPr>
      </w:pPr>
      <w:bookmarkStart w:id="154" w:name="_Toc15764"/>
      <w:bookmarkStart w:id="155" w:name="_Toc18057"/>
      <w:bookmarkStart w:id="156" w:name="_Toc10114"/>
      <w:bookmarkStart w:id="157" w:name="_Toc28123"/>
      <w:bookmarkStart w:id="158" w:name="_Toc8172"/>
      <w:r>
        <w:rPr>
          <w:rFonts w:hint="eastAsia" w:ascii="宋体" w:hAnsi="宋体" w:eastAsia="宋体" w:cs="宋体"/>
          <w:color w:val="auto"/>
          <w:spacing w:val="8"/>
          <w:sz w:val="24"/>
          <w:szCs w:val="24"/>
          <w:highlight w:val="none"/>
        </w:rPr>
        <w:t>评审原则</w:t>
      </w:r>
      <w:bookmarkEnd w:id="154"/>
      <w:bookmarkEnd w:id="155"/>
      <w:bookmarkEnd w:id="156"/>
      <w:bookmarkEnd w:id="157"/>
      <w:bookmarkEnd w:id="158"/>
    </w:p>
    <w:p w14:paraId="3109B17C">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磋商小组成员应当遵循客观、公正、审慎的原则，根据磋商文件规定的评审程序、评审方法和评审标准进行独立评审。</w:t>
      </w:r>
    </w:p>
    <w:p w14:paraId="561CE944">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具体评审事项由磋商小组负责，并按磋商文件规定的办法进行评审。</w:t>
      </w:r>
    </w:p>
    <w:p w14:paraId="52C5E22B">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rFonts w:hint="eastAsia" w:ascii="宋体" w:hAnsi="宋体" w:eastAsia="宋体" w:cs="宋体"/>
          <w:color w:val="auto"/>
          <w:sz w:val="24"/>
          <w:szCs w:val="24"/>
          <w:highlight w:val="none"/>
        </w:rPr>
      </w:pPr>
      <w:bookmarkStart w:id="159" w:name="_Toc21899"/>
      <w:bookmarkStart w:id="160" w:name="_Toc19794"/>
      <w:bookmarkStart w:id="161" w:name="_Toc15252"/>
      <w:bookmarkStart w:id="162" w:name="_Toc12038"/>
      <w:bookmarkStart w:id="163" w:name="_Toc19876"/>
      <w:r>
        <w:rPr>
          <w:rFonts w:hint="eastAsia" w:ascii="宋体" w:hAnsi="宋体" w:eastAsia="宋体" w:cs="宋体"/>
          <w:color w:val="auto"/>
          <w:spacing w:val="8"/>
          <w:sz w:val="24"/>
          <w:szCs w:val="24"/>
          <w:highlight w:val="none"/>
        </w:rPr>
        <w:t>磋商小组</w:t>
      </w:r>
      <w:bookmarkEnd w:id="159"/>
      <w:bookmarkEnd w:id="160"/>
      <w:bookmarkEnd w:id="161"/>
      <w:bookmarkEnd w:id="162"/>
      <w:bookmarkEnd w:id="163"/>
    </w:p>
    <w:p w14:paraId="3095360D">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磋商小组由采购人代表和评审专家共</w:t>
      </w:r>
      <w:r>
        <w:rPr>
          <w:rFonts w:hint="eastAsia" w:ascii="宋体" w:hAnsi="宋体" w:eastAsia="宋体" w:cs="宋体"/>
          <w:color w:val="auto"/>
          <w:spacing w:val="-3"/>
          <w:sz w:val="24"/>
          <w:szCs w:val="24"/>
          <w:highlight w:val="none"/>
        </w:rPr>
        <w:t>3</w:t>
      </w:r>
      <w:r>
        <w:rPr>
          <w:rFonts w:hint="eastAsia" w:ascii="宋体" w:hAnsi="宋体" w:eastAsia="宋体" w:cs="宋体"/>
          <w:color w:val="auto"/>
          <w:sz w:val="24"/>
          <w:szCs w:val="24"/>
          <w:highlight w:val="none"/>
        </w:rPr>
        <w:t>人以上单数组成，其中评审专家人数不得少于磋商小组成员总数的</w:t>
      </w:r>
      <w:r>
        <w:rPr>
          <w:rFonts w:hint="eastAsia" w:ascii="宋体" w:hAnsi="宋体" w:eastAsia="宋体" w:cs="宋体"/>
          <w:color w:val="auto"/>
          <w:spacing w:val="-4"/>
          <w:sz w:val="24"/>
          <w:szCs w:val="24"/>
          <w:highlight w:val="none"/>
        </w:rPr>
        <w:t>2/3</w:t>
      </w:r>
      <w:r>
        <w:rPr>
          <w:rFonts w:hint="eastAsia" w:ascii="宋体" w:hAnsi="宋体" w:eastAsia="宋体" w:cs="宋体"/>
          <w:color w:val="auto"/>
          <w:sz w:val="24"/>
          <w:szCs w:val="24"/>
          <w:highlight w:val="none"/>
        </w:rPr>
        <w:t>。</w:t>
      </w:r>
    </w:p>
    <w:p w14:paraId="1662690E">
      <w:pPr>
        <w:pStyle w:val="27"/>
        <w:keepNext w:val="0"/>
        <w:keepLines w:val="0"/>
        <w:pageBreakBefore w:val="0"/>
        <w:widowControl w:val="0"/>
        <w:numPr>
          <w:ilvl w:val="2"/>
          <w:numId w:val="6"/>
        </w:numPr>
        <w:tabs>
          <w:tab w:val="left" w:pos="851"/>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磋商小组成员有下列情形之一的，应当回避：</w:t>
      </w:r>
    </w:p>
    <w:p w14:paraId="77C8EAF9">
      <w:pPr>
        <w:pStyle w:val="27"/>
        <w:keepNext w:val="0"/>
        <w:keepLines w:val="0"/>
        <w:pageBreakBefore w:val="0"/>
        <w:widowControl w:val="0"/>
        <w:numPr>
          <w:ilvl w:val="0"/>
          <w:numId w:val="7"/>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参加政府采购活动前</w:t>
      </w:r>
      <w:r>
        <w:rPr>
          <w:rFonts w:hint="eastAsia" w:ascii="宋体" w:hAnsi="宋体" w:eastAsia="宋体" w:cs="宋体"/>
          <w:color w:val="auto"/>
          <w:spacing w:val="-3"/>
          <w:sz w:val="24"/>
          <w:szCs w:val="24"/>
          <w:highlight w:val="none"/>
        </w:rPr>
        <w:t>3</w:t>
      </w:r>
      <w:r>
        <w:rPr>
          <w:rFonts w:hint="eastAsia" w:ascii="宋体" w:hAnsi="宋体" w:eastAsia="宋体" w:cs="宋体"/>
          <w:color w:val="auto"/>
          <w:sz w:val="24"/>
          <w:szCs w:val="24"/>
          <w:highlight w:val="none"/>
        </w:rPr>
        <w:t>年内,与供应商存在劳动关系,或者担任过供应商的董事、监事,</w:t>
      </w:r>
      <w:r>
        <w:rPr>
          <w:rFonts w:hint="eastAsia" w:ascii="宋体" w:hAnsi="宋体" w:eastAsia="宋体" w:cs="宋体"/>
          <w:color w:val="auto"/>
          <w:spacing w:val="-2"/>
          <w:sz w:val="24"/>
          <w:szCs w:val="24"/>
          <w:highlight w:val="none"/>
        </w:rPr>
        <w:t>或者是供应商的控股股东或实</w:t>
      </w:r>
      <w:r>
        <w:rPr>
          <w:rFonts w:hint="eastAsia" w:ascii="宋体" w:hAnsi="宋体" w:eastAsia="宋体" w:cs="宋体"/>
          <w:color w:val="auto"/>
          <w:sz w:val="24"/>
          <w:szCs w:val="24"/>
          <w:highlight w:val="none"/>
        </w:rPr>
        <w:t>际控制人；</w:t>
      </w:r>
    </w:p>
    <w:p w14:paraId="7182B828">
      <w:pPr>
        <w:pStyle w:val="27"/>
        <w:keepNext w:val="0"/>
        <w:keepLines w:val="0"/>
        <w:pageBreakBefore w:val="0"/>
        <w:widowControl w:val="0"/>
        <w:numPr>
          <w:ilvl w:val="0"/>
          <w:numId w:val="7"/>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与供应商的法定代表人或者负责人有夫妻、直系血亲、三代以内旁系血亲或者近姻亲关系；</w:t>
      </w:r>
    </w:p>
    <w:p w14:paraId="581D2E42">
      <w:pPr>
        <w:pStyle w:val="27"/>
        <w:keepNext w:val="0"/>
        <w:keepLines w:val="0"/>
        <w:pageBreakBefore w:val="0"/>
        <w:widowControl w:val="0"/>
        <w:numPr>
          <w:ilvl w:val="0"/>
          <w:numId w:val="7"/>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与供应商有其他可能影响政府采购活动公平、公正进行的关系；</w:t>
      </w:r>
    </w:p>
    <w:p w14:paraId="29ABE680">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磋商小组负责具体评审事务，并独立履行下列职责：</w:t>
      </w:r>
    </w:p>
    <w:p w14:paraId="3205AB4B">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对响应文件的有效性、完整性和响应程度进行审查；</w:t>
      </w:r>
    </w:p>
    <w:p w14:paraId="303410FF">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要求供应商对响应文件有关事项作出澄清、说明或更正；</w:t>
      </w:r>
    </w:p>
    <w:p w14:paraId="3D58B259">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磋商小组所有成员应当集中与单一供应商分别进行磋商；</w:t>
      </w:r>
    </w:p>
    <w:p w14:paraId="039FBF3D">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对响应文件进行比较和评价；</w:t>
      </w:r>
    </w:p>
    <w:p w14:paraId="58575D24">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确定成交候选人名单，以及根据采购人委托直接确定成交供应商；</w:t>
      </w:r>
    </w:p>
    <w:p w14:paraId="38A05185">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向采购人、采购代理机构或者有关部门报告评审中发现的违法行为；</w:t>
      </w:r>
    </w:p>
    <w:p w14:paraId="3A59F5F8">
      <w:pPr>
        <w:pStyle w:val="27"/>
        <w:keepNext w:val="0"/>
        <w:keepLines w:val="0"/>
        <w:pageBreakBefore w:val="0"/>
        <w:widowControl w:val="0"/>
        <w:numPr>
          <w:ilvl w:val="0"/>
          <w:numId w:val="8"/>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法律法规规定的其他职责。</w:t>
      </w:r>
    </w:p>
    <w:p w14:paraId="3684455C">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06" w:firstLineChars="200"/>
        <w:jc w:val="left"/>
        <w:textAlignment w:val="auto"/>
        <w:rPr>
          <w:rFonts w:hint="eastAsia" w:ascii="宋体" w:hAnsi="宋体" w:eastAsia="宋体" w:cs="宋体"/>
          <w:color w:val="auto"/>
          <w:sz w:val="24"/>
          <w:szCs w:val="24"/>
          <w:highlight w:val="none"/>
        </w:rPr>
      </w:pPr>
      <w:bookmarkStart w:id="164" w:name="_Toc31832"/>
      <w:bookmarkStart w:id="165" w:name="_Toc14472"/>
      <w:bookmarkStart w:id="166" w:name="_Toc264"/>
      <w:bookmarkStart w:id="167" w:name="_Toc17601"/>
      <w:bookmarkStart w:id="168" w:name="_Toc31491"/>
      <w:r>
        <w:rPr>
          <w:rFonts w:hint="eastAsia" w:ascii="宋体" w:hAnsi="宋体" w:eastAsia="宋体" w:cs="宋体"/>
          <w:color w:val="auto"/>
          <w:spacing w:val="6"/>
          <w:sz w:val="24"/>
          <w:szCs w:val="24"/>
          <w:highlight w:val="none"/>
        </w:rPr>
        <w:t>澄清</w:t>
      </w:r>
      <w:bookmarkEnd w:id="164"/>
      <w:bookmarkEnd w:id="165"/>
      <w:bookmarkEnd w:id="166"/>
      <w:bookmarkEnd w:id="167"/>
      <w:bookmarkEnd w:id="168"/>
    </w:p>
    <w:p w14:paraId="27F27CE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DBED6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417BF146">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磋商小组不接受供应商主动提出的澄清、说明或更正。</w:t>
      </w:r>
    </w:p>
    <w:p w14:paraId="012EF016">
      <w:pPr>
        <w:pStyle w:val="27"/>
        <w:keepNext w:val="0"/>
        <w:keepLines w:val="0"/>
        <w:pageBreakBefore w:val="0"/>
        <w:widowControl w:val="0"/>
        <w:numPr>
          <w:ilvl w:val="2"/>
          <w:numId w:val="6"/>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磋商小组对供应商提交的澄清、说明或更正有疑问的，可以要求供应商进一步澄清、说明或更正。</w:t>
      </w:r>
    </w:p>
    <w:p w14:paraId="651A095B">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26" w:firstLineChars="200"/>
        <w:jc w:val="left"/>
        <w:textAlignment w:val="auto"/>
        <w:rPr>
          <w:rFonts w:hint="eastAsia" w:ascii="宋体" w:hAnsi="宋体" w:eastAsia="宋体" w:cs="宋体"/>
          <w:color w:val="auto"/>
          <w:sz w:val="24"/>
          <w:szCs w:val="24"/>
          <w:highlight w:val="none"/>
        </w:rPr>
      </w:pPr>
      <w:bookmarkStart w:id="169" w:name="_Toc27526"/>
      <w:bookmarkStart w:id="170" w:name="_Toc32669"/>
      <w:bookmarkStart w:id="171" w:name="_Toc17022"/>
      <w:bookmarkStart w:id="172" w:name="_Toc14014"/>
      <w:bookmarkStart w:id="173" w:name="_Toc20082"/>
      <w:r>
        <w:rPr>
          <w:rFonts w:hint="eastAsia" w:ascii="宋体" w:hAnsi="宋体" w:eastAsia="宋体" w:cs="宋体"/>
          <w:color w:val="auto"/>
          <w:spacing w:val="11"/>
          <w:sz w:val="24"/>
          <w:szCs w:val="24"/>
          <w:highlight w:val="none"/>
        </w:rPr>
        <w:t>有下列情形之一的，属于恶意串通，并追究法律责任：</w:t>
      </w:r>
      <w:bookmarkEnd w:id="169"/>
      <w:bookmarkEnd w:id="170"/>
      <w:bookmarkEnd w:id="171"/>
      <w:bookmarkEnd w:id="172"/>
      <w:bookmarkEnd w:id="173"/>
    </w:p>
    <w:p w14:paraId="62A93AB4">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供应商直接或者间接从采购人或者采购代理机构处获得其他供应商的相关情况并修改其响应文件；</w:t>
      </w:r>
    </w:p>
    <w:p w14:paraId="72BF880A">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供应商按照采购人或者采购代理机构的授意撤换、修改响应文件；</w:t>
      </w:r>
    </w:p>
    <w:p w14:paraId="56366C2E">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供应商之间协商</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、技术方案等响应文件的实质性内容；</w:t>
      </w:r>
    </w:p>
    <w:p w14:paraId="2D4E0551">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属于同一集团、协会、商会等组织成员的供应商按照该组织要求协同参加政府采购活动；</w:t>
      </w:r>
    </w:p>
    <w:p w14:paraId="5772F4DB">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供应商之间事先约定由某一特定供应商成交；</w:t>
      </w:r>
    </w:p>
    <w:p w14:paraId="3E04AA41">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供应商之间商定部分供应商放弃参加政府采购活动或者放弃成交；</w:t>
      </w:r>
    </w:p>
    <w:p w14:paraId="6C5C8C31">
      <w:pPr>
        <w:pStyle w:val="27"/>
        <w:keepNext w:val="0"/>
        <w:keepLines w:val="0"/>
        <w:pageBreakBefore w:val="0"/>
        <w:widowControl w:val="0"/>
        <w:numPr>
          <w:ilvl w:val="0"/>
          <w:numId w:val="9"/>
        </w:numPr>
        <w:tabs>
          <w:tab w:val="left" w:pos="996"/>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供应商与采购人或者采购代理机构之间、供应商相互之间，为谋求特定供应商成交或者排斥其他供应商的其他串通</w:t>
      </w:r>
      <w:r>
        <w:rPr>
          <w:rFonts w:hint="eastAsia" w:ascii="宋体" w:hAnsi="宋体" w:eastAsia="宋体" w:cs="宋体"/>
          <w:color w:val="auto"/>
          <w:sz w:val="24"/>
          <w:szCs w:val="24"/>
          <w:highlight w:val="none"/>
        </w:rPr>
        <w:t>行为。</w:t>
      </w:r>
    </w:p>
    <w:p w14:paraId="2460DBCD">
      <w:pPr>
        <w:pStyle w:val="4"/>
        <w:numPr>
          <w:ilvl w:val="1"/>
          <w:numId w:val="6"/>
        </w:numPr>
        <w:tabs>
          <w:tab w:val="left" w:pos="778"/>
        </w:tabs>
        <w:spacing w:before="0" w:after="0" w:line="240" w:lineRule="auto"/>
        <w:ind w:left="777" w:right="0" w:hanging="240"/>
        <w:jc w:val="left"/>
        <w:rPr>
          <w:rFonts w:hint="eastAsia" w:ascii="宋体" w:hAnsi="宋体" w:eastAsia="宋体" w:cs="宋体"/>
          <w:color w:val="auto"/>
          <w:sz w:val="24"/>
          <w:szCs w:val="24"/>
          <w:highlight w:val="none"/>
        </w:rPr>
      </w:pPr>
      <w:bookmarkStart w:id="174" w:name="_Toc32165"/>
      <w:bookmarkStart w:id="175" w:name="_Toc31438"/>
      <w:bookmarkStart w:id="176" w:name="_Toc30212"/>
      <w:bookmarkStart w:id="177" w:name="_Toc15271"/>
      <w:bookmarkStart w:id="178" w:name="_Toc18156"/>
      <w:r>
        <w:rPr>
          <w:rFonts w:hint="eastAsia" w:ascii="宋体" w:hAnsi="宋体" w:eastAsia="宋体" w:cs="宋体"/>
          <w:color w:val="auto"/>
          <w:spacing w:val="10"/>
          <w:sz w:val="24"/>
          <w:szCs w:val="24"/>
          <w:highlight w:val="none"/>
        </w:rPr>
        <w:t>响应无效的情形</w:t>
      </w:r>
      <w:bookmarkEnd w:id="174"/>
      <w:bookmarkEnd w:id="175"/>
      <w:bookmarkEnd w:id="176"/>
      <w:bookmarkEnd w:id="177"/>
      <w:bookmarkEnd w:id="178"/>
    </w:p>
    <w:p w14:paraId="3B61A35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(1)供应商未按照磋商文件要求提交磋商保证金的，响应无效； </w:t>
      </w:r>
    </w:p>
    <w:p w14:paraId="14267AD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(2)在提交响应文件截止时间后递交响应文件的，响应无效；</w:t>
      </w:r>
    </w:p>
    <w:p w14:paraId="698BA93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(3)未实质性响应磋商文件的，响应无效；</w:t>
      </w:r>
    </w:p>
    <w:p w14:paraId="4E2A1EE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(4)法律、法规和磋商文件规定的其他无效情形。</w:t>
      </w:r>
    </w:p>
    <w:p w14:paraId="12DEF19A">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18" w:firstLineChars="200"/>
        <w:jc w:val="left"/>
        <w:textAlignment w:val="auto"/>
        <w:rPr>
          <w:rFonts w:hint="eastAsia" w:ascii="宋体" w:hAnsi="宋体" w:eastAsia="宋体" w:cs="宋体"/>
          <w:color w:val="auto"/>
          <w:sz w:val="24"/>
          <w:szCs w:val="24"/>
          <w:highlight w:val="none"/>
        </w:rPr>
      </w:pPr>
      <w:bookmarkStart w:id="179" w:name="_Toc24106"/>
      <w:bookmarkStart w:id="180" w:name="_Toc32557"/>
      <w:bookmarkStart w:id="181" w:name="_Toc9314"/>
      <w:bookmarkStart w:id="182" w:name="_Toc22774"/>
      <w:bookmarkStart w:id="183" w:name="_Toc26162"/>
      <w:r>
        <w:rPr>
          <w:rFonts w:hint="eastAsia" w:ascii="宋体" w:hAnsi="宋体" w:eastAsia="宋体" w:cs="宋体"/>
          <w:color w:val="auto"/>
          <w:spacing w:val="9"/>
          <w:sz w:val="24"/>
          <w:szCs w:val="24"/>
          <w:highlight w:val="none"/>
        </w:rPr>
        <w:t>终止的情形</w:t>
      </w:r>
      <w:bookmarkEnd w:id="179"/>
      <w:bookmarkEnd w:id="180"/>
      <w:bookmarkEnd w:id="181"/>
      <w:bookmarkEnd w:id="182"/>
      <w:bookmarkEnd w:id="183"/>
    </w:p>
    <w:p w14:paraId="7353FDE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出现下列情形之一的，采购人或者采购代理机构应当终止竞争性磋商采购活动，发布公告并说明原因，重新开展采购活动：</w:t>
      </w:r>
    </w:p>
    <w:p w14:paraId="12955EAE">
      <w:pPr>
        <w:pStyle w:val="27"/>
        <w:keepNext w:val="0"/>
        <w:keepLines w:val="0"/>
        <w:pageBreakBefore w:val="0"/>
        <w:widowControl w:val="0"/>
        <w:numPr>
          <w:ilvl w:val="0"/>
          <w:numId w:val="10"/>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因情况变化，不再符合规定的竞争性磋商采购方式适用情形的；</w:t>
      </w:r>
    </w:p>
    <w:p w14:paraId="1413A537">
      <w:pPr>
        <w:pStyle w:val="27"/>
        <w:keepNext w:val="0"/>
        <w:keepLines w:val="0"/>
        <w:pageBreakBefore w:val="0"/>
        <w:widowControl w:val="0"/>
        <w:numPr>
          <w:ilvl w:val="0"/>
          <w:numId w:val="10"/>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出现影响采购公正的违法、违规行为的；</w:t>
      </w:r>
    </w:p>
    <w:p w14:paraId="28355000">
      <w:pPr>
        <w:pStyle w:val="27"/>
        <w:keepNext w:val="0"/>
        <w:keepLines w:val="0"/>
        <w:pageBreakBefore w:val="0"/>
        <w:widowControl w:val="0"/>
        <w:numPr>
          <w:ilvl w:val="0"/>
          <w:numId w:val="10"/>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除《政府采购竞争性磋商采购方式管理暂行办法》及其补充通知规定的情形外，在采购过程中符合要求的供应商或者</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未超过采购预算的供应商不足3家的。</w:t>
      </w:r>
    </w:p>
    <w:p w14:paraId="28E4C96D">
      <w:pPr>
        <w:pStyle w:val="27"/>
        <w:keepNext w:val="0"/>
        <w:keepLines w:val="0"/>
        <w:pageBreakBefore w:val="0"/>
        <w:widowControl w:val="0"/>
        <w:numPr>
          <w:ilvl w:val="0"/>
          <w:numId w:val="10"/>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法律、法规以及磋商文件规定的其他情形。</w:t>
      </w:r>
    </w:p>
    <w:p w14:paraId="5107AFBF">
      <w:pPr>
        <w:pStyle w:val="4"/>
        <w:keepNext w:val="0"/>
        <w:keepLines w:val="0"/>
        <w:pageBreakBefore w:val="0"/>
        <w:widowControl w:val="0"/>
        <w:numPr>
          <w:ilvl w:val="1"/>
          <w:numId w:val="6"/>
        </w:numPr>
        <w:tabs>
          <w:tab w:val="left" w:pos="778"/>
        </w:tabs>
        <w:kinsoku/>
        <w:wordWrap/>
        <w:overflowPunct/>
        <w:topLinePunct w:val="0"/>
        <w:autoSpaceDE w:val="0"/>
        <w:autoSpaceDN w:val="0"/>
        <w:bidi w:val="0"/>
        <w:adjustRightInd/>
        <w:snapToGrid/>
        <w:spacing w:before="0" w:after="0" w:line="360" w:lineRule="auto"/>
        <w:ind w:left="0" w:right="0" w:firstLine="506" w:firstLineChars="200"/>
        <w:jc w:val="left"/>
        <w:textAlignment w:val="auto"/>
        <w:rPr>
          <w:rFonts w:hint="eastAsia" w:ascii="宋体" w:hAnsi="宋体" w:eastAsia="宋体" w:cs="宋体"/>
          <w:color w:val="auto"/>
          <w:sz w:val="24"/>
          <w:szCs w:val="24"/>
          <w:highlight w:val="none"/>
        </w:rPr>
      </w:pPr>
      <w:bookmarkStart w:id="184" w:name="_Toc25569"/>
      <w:bookmarkStart w:id="185" w:name="_Toc26466"/>
      <w:bookmarkStart w:id="186" w:name="_Toc25933"/>
      <w:bookmarkStart w:id="187" w:name="_Toc24752"/>
      <w:bookmarkStart w:id="188" w:name="_Toc7745"/>
      <w:r>
        <w:rPr>
          <w:rFonts w:hint="eastAsia" w:ascii="宋体" w:hAnsi="宋体" w:eastAsia="宋体" w:cs="宋体"/>
          <w:color w:val="auto"/>
          <w:spacing w:val="6"/>
          <w:sz w:val="24"/>
          <w:szCs w:val="24"/>
          <w:highlight w:val="none"/>
        </w:rPr>
        <w:t>成交</w:t>
      </w:r>
      <w:bookmarkEnd w:id="184"/>
      <w:bookmarkEnd w:id="185"/>
      <w:bookmarkEnd w:id="186"/>
      <w:bookmarkEnd w:id="187"/>
      <w:bookmarkEnd w:id="188"/>
    </w:p>
    <w:p w14:paraId="47914F1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评审结束后，磋商小组根据采购人书面授权直接确定成交供应商或者由采购人从评审报告提出的成交候选供应商中按顺序确定成交供应商。</w:t>
      </w:r>
    </w:p>
    <w:p w14:paraId="35436B1E">
      <w:pPr>
        <w:pStyle w:val="4"/>
        <w:ind w:left="532"/>
        <w:rPr>
          <w:rFonts w:hint="eastAsia" w:ascii="宋体" w:hAnsi="宋体" w:eastAsia="宋体" w:cs="宋体"/>
          <w:color w:val="auto"/>
          <w:sz w:val="24"/>
          <w:szCs w:val="24"/>
          <w:highlight w:val="none"/>
        </w:rPr>
      </w:pPr>
      <w:bookmarkStart w:id="189" w:name="_Toc12009"/>
      <w:bookmarkStart w:id="190" w:name="_Toc23447"/>
      <w:bookmarkStart w:id="191" w:name="_Toc22986"/>
      <w:bookmarkStart w:id="192" w:name="_Toc29971"/>
      <w:bookmarkStart w:id="193" w:name="_Toc14021"/>
      <w:r>
        <w:rPr>
          <w:rFonts w:hint="eastAsia" w:ascii="宋体" w:hAnsi="宋体" w:eastAsia="宋体" w:cs="宋体"/>
          <w:color w:val="auto"/>
          <w:sz w:val="24"/>
          <w:szCs w:val="24"/>
          <w:highlight w:val="none"/>
        </w:rPr>
        <w:t>二、落实政府采购政策</w:t>
      </w:r>
      <w:bookmarkEnd w:id="189"/>
      <w:bookmarkEnd w:id="190"/>
      <w:bookmarkEnd w:id="191"/>
      <w:bookmarkEnd w:id="192"/>
      <w:bookmarkEnd w:id="193"/>
    </w:p>
    <w:p w14:paraId="0CE29DC2">
      <w:pPr>
        <w:pStyle w:val="9"/>
        <w:spacing w:before="7"/>
        <w:ind w:left="0"/>
        <w:rPr>
          <w:rFonts w:hint="eastAsia" w:ascii="宋体" w:hAnsi="宋体" w:eastAsia="宋体" w:cs="宋体"/>
          <w:b/>
          <w:color w:val="auto"/>
          <w:sz w:val="24"/>
          <w:szCs w:val="24"/>
          <w:highlight w:val="none"/>
        </w:rPr>
      </w:pPr>
    </w:p>
    <w:p w14:paraId="664E7F17">
      <w:pPr>
        <w:pStyle w:val="27"/>
        <w:keepNext w:val="0"/>
        <w:keepLines w:val="0"/>
        <w:pageBreakBefore w:val="0"/>
        <w:widowControl w:val="0"/>
        <w:numPr>
          <w:ilvl w:val="0"/>
          <w:numId w:val="11"/>
        </w:numPr>
        <w:tabs>
          <w:tab w:val="left" w:pos="778"/>
        </w:tabs>
        <w:kinsoku/>
        <w:wordWrap/>
        <w:overflowPunct/>
        <w:topLinePunct w:val="0"/>
        <w:autoSpaceDE w:val="0"/>
        <w:autoSpaceDN w:val="0"/>
        <w:bidi w:val="0"/>
        <w:adjustRightInd/>
        <w:snapToGrid/>
        <w:spacing w:before="0" w:after="0" w:line="360" w:lineRule="auto"/>
        <w:ind w:left="0" w:right="0" w:firstLine="52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10"/>
          <w:sz w:val="24"/>
          <w:szCs w:val="24"/>
          <w:highlight w:val="none"/>
        </w:rPr>
        <w:t>节约能源、保护环境</w:t>
      </w:r>
    </w:p>
    <w:p w14:paraId="40C534C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35B520BB">
      <w:pPr>
        <w:pStyle w:val="4"/>
        <w:keepNext w:val="0"/>
        <w:keepLines w:val="0"/>
        <w:pageBreakBefore w:val="0"/>
        <w:widowControl w:val="0"/>
        <w:numPr>
          <w:ilvl w:val="0"/>
          <w:numId w:val="11"/>
        </w:numPr>
        <w:tabs>
          <w:tab w:val="left" w:pos="778"/>
        </w:tabs>
        <w:kinsoku/>
        <w:wordWrap/>
        <w:overflowPunct/>
        <w:topLinePunct w:val="0"/>
        <w:autoSpaceDE w:val="0"/>
        <w:autoSpaceDN w:val="0"/>
        <w:bidi w:val="0"/>
        <w:adjustRightInd/>
        <w:snapToGrid/>
        <w:spacing w:before="0" w:after="0" w:line="360" w:lineRule="auto"/>
        <w:ind w:left="0" w:right="0" w:firstLine="522" w:firstLineChars="200"/>
        <w:jc w:val="left"/>
        <w:textAlignment w:val="auto"/>
        <w:rPr>
          <w:rFonts w:hint="eastAsia" w:ascii="宋体" w:hAnsi="宋体" w:eastAsia="宋体" w:cs="宋体"/>
          <w:color w:val="auto"/>
          <w:sz w:val="24"/>
          <w:szCs w:val="24"/>
          <w:highlight w:val="none"/>
        </w:rPr>
      </w:pPr>
      <w:bookmarkStart w:id="194" w:name="_Toc30529"/>
      <w:bookmarkStart w:id="195" w:name="_Toc14233"/>
      <w:bookmarkStart w:id="196" w:name="_Toc27947"/>
      <w:bookmarkStart w:id="197" w:name="_Toc20127"/>
      <w:bookmarkStart w:id="198" w:name="_Toc26954"/>
      <w:r>
        <w:rPr>
          <w:rFonts w:hint="eastAsia" w:ascii="宋体" w:hAnsi="宋体" w:eastAsia="宋体" w:cs="宋体"/>
          <w:color w:val="auto"/>
          <w:spacing w:val="10"/>
          <w:sz w:val="24"/>
          <w:szCs w:val="24"/>
          <w:highlight w:val="none"/>
        </w:rPr>
        <w:t>促进中小企业发展</w:t>
      </w:r>
      <w:bookmarkEnd w:id="194"/>
      <w:bookmarkEnd w:id="195"/>
      <w:bookmarkEnd w:id="196"/>
      <w:bookmarkEnd w:id="197"/>
      <w:bookmarkEnd w:id="198"/>
    </w:p>
    <w:p w14:paraId="560F06EF">
      <w:pPr>
        <w:pStyle w:val="27"/>
        <w:keepNext w:val="0"/>
        <w:keepLines w:val="0"/>
        <w:pageBreakBefore w:val="0"/>
        <w:widowControl w:val="0"/>
        <w:numPr>
          <w:ilvl w:val="1"/>
          <w:numId w:val="11"/>
        </w:numPr>
        <w:tabs>
          <w:tab w:val="left" w:pos="794"/>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采购人在政府采购活动中应当通过加强采购需求管理，落实预留采购份额、价格评审优惠、优先采购等措施，提高中</w:t>
      </w:r>
      <w:r>
        <w:rPr>
          <w:rFonts w:hint="eastAsia" w:ascii="宋体" w:hAnsi="宋体" w:eastAsia="宋体" w:cs="宋体"/>
          <w:color w:val="auto"/>
          <w:sz w:val="24"/>
          <w:szCs w:val="24"/>
          <w:highlight w:val="none"/>
        </w:rPr>
        <w:t>小企业在政府采购中的份额，支持中小企业发展。</w:t>
      </w:r>
    </w:p>
    <w:p w14:paraId="34F65261">
      <w:pPr>
        <w:pStyle w:val="27"/>
        <w:keepNext w:val="0"/>
        <w:keepLines w:val="0"/>
        <w:pageBreakBefore w:val="0"/>
        <w:widowControl w:val="0"/>
        <w:numPr>
          <w:ilvl w:val="1"/>
          <w:numId w:val="11"/>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政府采购促进中小企业发展管理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14:paraId="7E23CFBD">
      <w:pPr>
        <w:pStyle w:val="27"/>
        <w:keepNext w:val="0"/>
        <w:keepLines w:val="0"/>
        <w:pageBreakBefore w:val="0"/>
        <w:widowControl w:val="0"/>
        <w:numPr>
          <w:ilvl w:val="1"/>
          <w:numId w:val="11"/>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在政府采购活动中，供应商提供的货物、工程或者服务符合下列情形的，享受《政府采购促进中小企业发展管理办法》规定的中小企业扶持政策：</w:t>
      </w:r>
    </w:p>
    <w:p w14:paraId="102CB779">
      <w:pPr>
        <w:pStyle w:val="27"/>
        <w:keepNext w:val="0"/>
        <w:keepLines w:val="0"/>
        <w:pageBreakBefore w:val="0"/>
        <w:widowControl w:val="0"/>
        <w:numPr>
          <w:ilvl w:val="0"/>
          <w:numId w:val="12"/>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在货物采购项目中，货物由中小企业制造，即货物由中小企业生产且使用该中小企业商号或者注册商标；</w:t>
      </w:r>
    </w:p>
    <w:p w14:paraId="2A527AF2">
      <w:pPr>
        <w:pStyle w:val="27"/>
        <w:keepNext w:val="0"/>
        <w:keepLines w:val="0"/>
        <w:pageBreakBefore w:val="0"/>
        <w:widowControl w:val="0"/>
        <w:numPr>
          <w:ilvl w:val="0"/>
          <w:numId w:val="12"/>
        </w:numPr>
        <w:tabs>
          <w:tab w:val="left" w:pos="996"/>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在工程采购项目中，工程由中小企业承建，即工程施工单位为中小企业；</w:t>
      </w:r>
    </w:p>
    <w:p w14:paraId="70D4B09D">
      <w:pPr>
        <w:pStyle w:val="27"/>
        <w:keepNext w:val="0"/>
        <w:keepLines w:val="0"/>
        <w:pageBreakBefore w:val="0"/>
        <w:widowControl w:val="0"/>
        <w:numPr>
          <w:ilvl w:val="0"/>
          <w:numId w:val="12"/>
        </w:numPr>
        <w:tabs>
          <w:tab w:val="left" w:pos="996"/>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在服务采购项目中，服务由中小企业承接，即提供服务的人员为中小企业依照《中华人民共和国劳动合同法》订立</w:t>
      </w:r>
      <w:r>
        <w:rPr>
          <w:rFonts w:hint="eastAsia" w:ascii="宋体" w:hAnsi="宋体" w:eastAsia="宋体" w:cs="宋体"/>
          <w:color w:val="auto"/>
          <w:sz w:val="24"/>
          <w:szCs w:val="24"/>
          <w:highlight w:val="none"/>
        </w:rPr>
        <w:t>劳动合同的从业人员。</w:t>
      </w:r>
    </w:p>
    <w:p w14:paraId="5B5EC3A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在货物采购项目中，供应商提供的货物既有中小企业制造货物，也有大型企业制造货物的，不享受《政府采购促进中小企业发展管理办法》规定的中小企业扶持政策。</w:t>
      </w:r>
    </w:p>
    <w:p w14:paraId="7EBF29A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以联合体形式参加政府采购活动，联合体各方均为中小企业的，联合体视同中小企业。其中，联合体各方均为小微企业的，联合体视同小微企业。</w:t>
      </w:r>
    </w:p>
    <w:p w14:paraId="7A0C8032">
      <w:pPr>
        <w:pStyle w:val="27"/>
        <w:keepNext w:val="0"/>
        <w:keepLines w:val="0"/>
        <w:pageBreakBefore w:val="0"/>
        <w:widowControl w:val="0"/>
        <w:numPr>
          <w:ilvl w:val="1"/>
          <w:numId w:val="11"/>
        </w:numPr>
        <w:tabs>
          <w:tab w:val="left" w:pos="794"/>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依照《政府采购促进中小企业发展管理办法》《关于政府采购支持监狱企业发展有关问题的通知》和《财政部 民政部</w:t>
      </w:r>
      <w:r>
        <w:rPr>
          <w:rFonts w:hint="eastAsia" w:ascii="宋体" w:hAnsi="宋体" w:eastAsia="宋体" w:cs="宋体"/>
          <w:color w:val="auto"/>
          <w:sz w:val="24"/>
          <w:szCs w:val="24"/>
          <w:highlight w:val="none"/>
        </w:rPr>
        <w:t>中国残疾人联合会关于促进残疾人就业政府采购政策的通知》的规定，凡符合要求的小型、微型企业、监狱企业或残疾人福利性单位，按照以下比例给予相应的价格扣除：</w:t>
      </w:r>
    </w:p>
    <w:p w14:paraId="766ADAF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合同包1（</w:t>
      </w:r>
      <w:r>
        <w:rPr>
          <w:rFonts w:hint="eastAsia" w:cs="宋体"/>
          <w:color w:val="auto"/>
          <w:sz w:val="24"/>
          <w:szCs w:val="24"/>
          <w:highlight w:val="none"/>
          <w:lang w:eastAsia="zh-CN"/>
        </w:rPr>
        <w:t>2022年-2024年巡游出租车运营成本、浮桥通行成本监审（调查）项目</w:t>
      </w:r>
      <w:r>
        <w:rPr>
          <w:rFonts w:hint="eastAsia" w:ascii="宋体" w:hAnsi="宋体" w:eastAsia="宋体" w:cs="宋体"/>
          <w:color w:val="auto"/>
          <w:sz w:val="24"/>
          <w:szCs w:val="24"/>
          <w:highlight w:val="none"/>
        </w:rPr>
        <w:t>）</w:t>
      </w:r>
    </w:p>
    <w:tbl>
      <w:tblPr>
        <w:tblStyle w:val="19"/>
        <w:tblW w:w="1055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04"/>
        <w:gridCol w:w="1985"/>
        <w:gridCol w:w="1437"/>
        <w:gridCol w:w="1855"/>
        <w:gridCol w:w="4471"/>
      </w:tblGrid>
      <w:tr w14:paraId="05FA2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90" w:hRule="atLeast"/>
          <w:jc w:val="center"/>
        </w:trPr>
        <w:tc>
          <w:tcPr>
            <w:tcW w:w="804" w:type="dxa"/>
            <w:vAlign w:val="center"/>
          </w:tcPr>
          <w:p w14:paraId="6FE82A30">
            <w:pPr>
              <w:pStyle w:val="28"/>
              <w:ind w:left="94"/>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序号</w:t>
            </w:r>
          </w:p>
        </w:tc>
        <w:tc>
          <w:tcPr>
            <w:tcW w:w="1985" w:type="dxa"/>
            <w:vAlign w:val="center"/>
          </w:tcPr>
          <w:p w14:paraId="707DD0AE">
            <w:pPr>
              <w:pStyle w:val="28"/>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情形</w:t>
            </w:r>
          </w:p>
        </w:tc>
        <w:tc>
          <w:tcPr>
            <w:tcW w:w="1437" w:type="dxa"/>
            <w:vAlign w:val="center"/>
          </w:tcPr>
          <w:p w14:paraId="152C96E6">
            <w:pPr>
              <w:pStyle w:val="28"/>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适用对象</w:t>
            </w:r>
          </w:p>
        </w:tc>
        <w:tc>
          <w:tcPr>
            <w:tcW w:w="1855" w:type="dxa"/>
            <w:vAlign w:val="center"/>
          </w:tcPr>
          <w:p w14:paraId="14B4D551">
            <w:pPr>
              <w:pStyle w:val="28"/>
              <w:spacing w:before="60"/>
              <w:ind w:left="94"/>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价格扣除比</w:t>
            </w:r>
            <w:r>
              <w:rPr>
                <w:rFonts w:hint="eastAsia" w:ascii="宋体" w:hAnsi="宋体" w:eastAsia="宋体" w:cs="宋体"/>
                <w:b/>
                <w:w w:val="100"/>
                <w:sz w:val="24"/>
                <w:szCs w:val="24"/>
                <w:highlight w:val="none"/>
              </w:rPr>
              <w:t>例</w:t>
            </w:r>
          </w:p>
        </w:tc>
        <w:tc>
          <w:tcPr>
            <w:tcW w:w="4471" w:type="dxa"/>
            <w:vAlign w:val="center"/>
          </w:tcPr>
          <w:p w14:paraId="4562C0B0">
            <w:pPr>
              <w:pStyle w:val="28"/>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计算公式</w:t>
            </w:r>
          </w:p>
        </w:tc>
      </w:tr>
      <w:tr w14:paraId="1DAB12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804" w:type="dxa"/>
            <w:vAlign w:val="center"/>
          </w:tcPr>
          <w:p w14:paraId="6965549C">
            <w:pPr>
              <w:pStyle w:val="28"/>
              <w:spacing w:before="24" w:line="273" w:lineRule="auto"/>
              <w:ind w:left="100" w:leftChars="0" w:right="147" w:rightChars="0"/>
              <w:jc w:val="center"/>
              <w:rPr>
                <w:rFonts w:hint="eastAsia" w:ascii="宋体" w:hAnsi="宋体" w:eastAsia="宋体" w:cs="宋体"/>
                <w:b/>
                <w:sz w:val="24"/>
                <w:szCs w:val="24"/>
                <w:highlight w:val="none"/>
              </w:rPr>
            </w:pPr>
            <w:r>
              <w:rPr>
                <w:rFonts w:hint="eastAsia" w:ascii="宋体" w:hAnsi="宋体" w:eastAsia="宋体" w:cs="宋体"/>
                <w:sz w:val="24"/>
                <w:szCs w:val="24"/>
                <w:highlight w:val="none"/>
                <w:lang w:val="en-US" w:eastAsia="zh-CN"/>
              </w:rPr>
              <w:t>1</w:t>
            </w:r>
          </w:p>
        </w:tc>
        <w:tc>
          <w:tcPr>
            <w:tcW w:w="1985" w:type="dxa"/>
            <w:vAlign w:val="center"/>
          </w:tcPr>
          <w:p w14:paraId="2CC261DD">
            <w:pPr>
              <w:pStyle w:val="28"/>
              <w:spacing w:before="24" w:line="273" w:lineRule="auto"/>
              <w:ind w:left="100" w:leftChars="0" w:right="147" w:rightChars="0"/>
              <w:jc w:val="center"/>
              <w:rPr>
                <w:rFonts w:hint="eastAsia" w:ascii="宋体" w:hAnsi="宋体" w:eastAsia="宋体" w:cs="宋体"/>
                <w:b/>
                <w:sz w:val="24"/>
                <w:szCs w:val="24"/>
                <w:highlight w:val="none"/>
              </w:rPr>
            </w:pPr>
            <w:r>
              <w:rPr>
                <w:rFonts w:hint="eastAsia" w:ascii="宋体" w:hAnsi="宋体" w:eastAsia="宋体" w:cs="宋体"/>
                <w:sz w:val="24"/>
                <w:szCs w:val="24"/>
                <w:highlight w:val="none"/>
              </w:rPr>
              <w:t>小型、微型企业，监狱企业，残疾人福利性单位</w:t>
            </w:r>
          </w:p>
        </w:tc>
        <w:tc>
          <w:tcPr>
            <w:tcW w:w="1437" w:type="dxa"/>
            <w:vAlign w:val="center"/>
          </w:tcPr>
          <w:p w14:paraId="3748D0AB">
            <w:pPr>
              <w:pStyle w:val="28"/>
              <w:spacing w:before="24" w:line="273" w:lineRule="auto"/>
              <w:ind w:left="100" w:leftChars="0" w:right="147" w:rightChars="0"/>
              <w:jc w:val="center"/>
              <w:rPr>
                <w:rFonts w:hint="eastAsia" w:ascii="宋体" w:hAnsi="宋体" w:eastAsia="宋体" w:cs="宋体"/>
                <w:b/>
                <w:sz w:val="24"/>
                <w:szCs w:val="24"/>
                <w:highlight w:val="none"/>
              </w:rPr>
            </w:pPr>
            <w:r>
              <w:rPr>
                <w:rFonts w:hint="eastAsia" w:ascii="宋体" w:hAnsi="宋体" w:eastAsia="宋体" w:cs="宋体"/>
                <w:sz w:val="24"/>
                <w:szCs w:val="24"/>
                <w:highlight w:val="none"/>
              </w:rPr>
              <w:t>非联合体</w:t>
            </w:r>
          </w:p>
        </w:tc>
        <w:tc>
          <w:tcPr>
            <w:tcW w:w="1855" w:type="dxa"/>
            <w:vAlign w:val="center"/>
          </w:tcPr>
          <w:p w14:paraId="696C9FA8">
            <w:pPr>
              <w:pStyle w:val="28"/>
              <w:spacing w:before="24" w:line="273" w:lineRule="auto"/>
              <w:ind w:left="100" w:leftChars="0" w:right="147" w:rightChars="0"/>
              <w:jc w:val="center"/>
              <w:rPr>
                <w:rFonts w:hint="eastAsia" w:ascii="宋体" w:hAnsi="宋体" w:eastAsia="宋体" w:cs="宋体"/>
                <w:b/>
                <w:sz w:val="24"/>
                <w:szCs w:val="24"/>
                <w:highlight w:val="none"/>
              </w:rPr>
            </w:pPr>
            <w:r>
              <w:rPr>
                <w:rFonts w:hint="eastAsia" w:cs="宋体"/>
                <w:sz w:val="24"/>
                <w:szCs w:val="24"/>
                <w:highlight w:val="none"/>
                <w:lang w:val="en-US" w:eastAsia="zh-CN"/>
              </w:rPr>
              <w:t>2</w:t>
            </w:r>
            <w:r>
              <w:rPr>
                <w:rFonts w:hint="eastAsia" w:ascii="宋体" w:hAnsi="宋体" w:eastAsia="宋体" w:cs="宋体"/>
                <w:sz w:val="24"/>
                <w:szCs w:val="24"/>
                <w:highlight w:val="none"/>
              </w:rPr>
              <w:t>0%</w:t>
            </w:r>
          </w:p>
        </w:tc>
        <w:tc>
          <w:tcPr>
            <w:tcW w:w="4471" w:type="dxa"/>
            <w:vAlign w:val="center"/>
          </w:tcPr>
          <w:p w14:paraId="7E5A1E2A">
            <w:pPr>
              <w:pStyle w:val="28"/>
              <w:spacing w:before="24" w:line="273" w:lineRule="auto"/>
              <w:ind w:left="100" w:leftChars="0" w:right="147" w:rightChars="0"/>
              <w:jc w:val="center"/>
              <w:rPr>
                <w:rFonts w:hint="eastAsia" w:ascii="宋体" w:hAnsi="宋体" w:eastAsia="宋体" w:cs="宋体"/>
                <w:b/>
                <w:sz w:val="24"/>
                <w:szCs w:val="24"/>
                <w:highlight w:val="none"/>
              </w:rPr>
            </w:pPr>
            <w:r>
              <w:rPr>
                <w:rFonts w:hint="eastAsia" w:ascii="宋体" w:hAnsi="宋体" w:eastAsia="宋体" w:cs="宋体"/>
                <w:sz w:val="24"/>
                <w:szCs w:val="24"/>
                <w:highlight w:val="none"/>
              </w:rPr>
              <w:t>货物由小微企业制造，即货物由小微企业生产且使用该小微企业商号或者注册商标时，给予价格扣除C1，即：评标价=投标报价×（1-C1）</w:t>
            </w:r>
            <w:r>
              <w:rPr>
                <w:rFonts w:hint="eastAsia" w:cs="宋体"/>
                <w:sz w:val="24"/>
                <w:szCs w:val="24"/>
                <w:highlight w:val="none"/>
                <w:lang w:eastAsia="zh-CN"/>
              </w:rPr>
              <w:t>；</w:t>
            </w:r>
            <w:r>
              <w:rPr>
                <w:rFonts w:hint="eastAsia" w:ascii="宋体" w:hAnsi="宋体" w:eastAsia="宋体" w:cs="宋体"/>
                <w:sz w:val="24"/>
                <w:szCs w:val="24"/>
                <w:highlight w:val="none"/>
              </w:rPr>
              <w:t>监狱企业与残疾人福利性单位视同小型、微型企业，享受同等价格扣除，当企业属性重复时，不重复价格扣除。</w:t>
            </w:r>
          </w:p>
        </w:tc>
      </w:tr>
      <w:tr w14:paraId="3855F3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10552" w:type="dxa"/>
            <w:gridSpan w:val="5"/>
            <w:vAlign w:val="center"/>
          </w:tcPr>
          <w:p w14:paraId="56DBF196">
            <w:pPr>
              <w:pStyle w:val="28"/>
              <w:spacing w:before="24" w:line="273" w:lineRule="auto"/>
              <w:ind w:left="100" w:right="147"/>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注：（1）上述评标价仅用于计算价格评分，成交金额以实际投标价为准。 （2）组成联合体的大中型企业和其他自然人、法人或者其他组织，与小型、微型企业之间不得存在投资关系。</w:t>
            </w:r>
          </w:p>
        </w:tc>
      </w:tr>
    </w:tbl>
    <w:p w14:paraId="593435B4">
      <w:pPr>
        <w:pStyle w:val="27"/>
        <w:keepNext w:val="0"/>
        <w:keepLines w:val="0"/>
        <w:pageBreakBefore w:val="0"/>
        <w:widowControl w:val="0"/>
        <w:numPr>
          <w:ilvl w:val="1"/>
          <w:numId w:val="11"/>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属于中小企业的，应提供《中小企业声明函》；属于监狱企业的，应提供由省级以上监狱管理局、戒毒管理局（含新疆生产建设兵团）出具的属于监狱企业的证明文件；属于残疾人福利性单位的，应提供《残疾人福利性单位声明函》。供应商应当按照《中小企业声明函》《残疾人福利性单位声明函》规定格式提供（格式附后，不可修改），未按规定提供的， 不得享受相关中小企业扶持政策。</w:t>
      </w:r>
    </w:p>
    <w:p w14:paraId="5A0DF66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供应商应当对提供材料的真实性负责，若有虚假，将追究其法律责任。</w:t>
      </w:r>
    </w:p>
    <w:p w14:paraId="46FCF49C">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bookmarkStart w:id="199" w:name="_Toc4066"/>
      <w:bookmarkStart w:id="200" w:name="_Toc21301"/>
      <w:bookmarkStart w:id="201" w:name="_Toc23010"/>
      <w:bookmarkStart w:id="202" w:name="_Toc28713"/>
      <w:bookmarkStart w:id="203" w:name="_Toc10451"/>
      <w:r>
        <w:rPr>
          <w:rFonts w:hint="eastAsia" w:ascii="宋体" w:hAnsi="宋体" w:eastAsia="宋体" w:cs="宋体"/>
          <w:color w:val="auto"/>
          <w:sz w:val="24"/>
          <w:szCs w:val="24"/>
          <w:highlight w:val="none"/>
        </w:rPr>
        <w:t>三、评审程序</w:t>
      </w:r>
      <w:bookmarkEnd w:id="199"/>
      <w:bookmarkEnd w:id="200"/>
      <w:bookmarkEnd w:id="201"/>
      <w:bookmarkEnd w:id="202"/>
      <w:bookmarkEnd w:id="203"/>
    </w:p>
    <w:p w14:paraId="2196660D">
      <w:pPr>
        <w:pStyle w:val="27"/>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8"/>
          <w:sz w:val="24"/>
          <w:szCs w:val="24"/>
          <w:highlight w:val="none"/>
        </w:rPr>
        <w:t>资格审查</w:t>
      </w:r>
    </w:p>
    <w:p w14:paraId="388ED3AA">
      <w:pPr>
        <w:pStyle w:val="27"/>
        <w:keepNext w:val="0"/>
        <w:keepLines w:val="0"/>
        <w:pageBreakBefore w:val="0"/>
        <w:widowControl w:val="0"/>
        <w:numPr>
          <w:ilvl w:val="1"/>
          <w:numId w:val="13"/>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磋商小组依据法律法规和磋商文件的规定，对响应文件中的资格证明文件等进行审查，以确定供应商是否具备响应资格。</w:t>
      </w:r>
    </w:p>
    <w:p w14:paraId="60EF2AF9">
      <w:pPr>
        <w:pStyle w:val="27"/>
        <w:keepNext w:val="0"/>
        <w:keepLines w:val="0"/>
        <w:pageBreakBefore w:val="0"/>
        <w:widowControl w:val="0"/>
        <w:numPr>
          <w:ilvl w:val="1"/>
          <w:numId w:val="13"/>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资格审查中有任意一项未通过的，审查结果为未通过，未通过资格审查的供应商按无效响应处理。</w:t>
      </w:r>
    </w:p>
    <w:p w14:paraId="408AA175">
      <w:pPr>
        <w:pStyle w:val="27"/>
        <w:keepNext w:val="0"/>
        <w:keepLines w:val="0"/>
        <w:pageBreakBefore w:val="0"/>
        <w:widowControl w:val="0"/>
        <w:numPr>
          <w:ilvl w:val="1"/>
          <w:numId w:val="13"/>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信用记录查询</w:t>
      </w:r>
    </w:p>
    <w:p w14:paraId="2F657C3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查询渠道：通过</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信用中国</w:t>
      </w:r>
      <w:r>
        <w:rPr>
          <w:rFonts w:hint="eastAsia" w:ascii="宋体" w:hAnsi="宋体" w:eastAsia="宋体" w:cs="宋体"/>
          <w:color w:val="auto"/>
          <w:spacing w:val="-4"/>
          <w:sz w:val="24"/>
          <w:szCs w:val="24"/>
          <w:highlight w:val="none"/>
        </w:rPr>
        <w:t>”</w:t>
      </w:r>
      <w:r>
        <w:rPr>
          <w:rFonts w:hint="eastAsia" w:ascii="宋体" w:hAnsi="宋体" w:eastAsia="宋体" w:cs="宋体"/>
          <w:color w:val="auto"/>
          <w:sz w:val="24"/>
          <w:szCs w:val="24"/>
          <w:highlight w:val="none"/>
        </w:rPr>
        <w:t>网站</w:t>
      </w:r>
      <w:r>
        <w:rPr>
          <w:rFonts w:hint="eastAsia" w:ascii="宋体" w:hAnsi="宋体" w:eastAsia="宋体" w:cs="宋体"/>
          <w:color w:val="auto"/>
          <w:spacing w:val="-4"/>
          <w:sz w:val="24"/>
          <w:szCs w:val="24"/>
          <w:highlight w:val="none"/>
        </w:rPr>
        <w:t>(www.creditchina.gov.cn)</w:t>
      </w:r>
      <w:r>
        <w:rPr>
          <w:rFonts w:hint="eastAsia" w:ascii="宋体" w:hAnsi="宋体" w:eastAsia="宋体" w:cs="宋体"/>
          <w:color w:val="auto"/>
          <w:sz w:val="24"/>
          <w:szCs w:val="24"/>
          <w:highlight w:val="none"/>
        </w:rPr>
        <w:t>和</w:t>
      </w:r>
      <w:r>
        <w:rPr>
          <w:rFonts w:hint="eastAsia" w:ascii="宋体" w:hAnsi="宋体" w:eastAsia="宋体" w:cs="宋体"/>
          <w:color w:val="auto"/>
          <w:spacing w:val="-4"/>
          <w:sz w:val="24"/>
          <w:szCs w:val="24"/>
          <w:highlight w:val="none"/>
        </w:rPr>
        <w:t>“中国执行信息公开网</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"http://www.ccgp.gov.cn/"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www.ccgp.gov.cn</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t>）进行查询； 查询截止时点：本项目资格审查时查询；</w:t>
      </w:r>
    </w:p>
    <w:p w14:paraId="246AC39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查询记录：重大税收违法失信主体、政府采购严重违法失信行为记录名单、被列入失信被执行人行为名单进行查询；</w:t>
      </w:r>
    </w:p>
    <w:p w14:paraId="1761F51F">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应当按照查询渠道、查询时间节点、查询记录内容进行查询，并存档。对重大税收违法失信主体、政府采购严重违法失信行为记录名单、被列入失信被执行人行为记录名单的供应商将被拒绝参与政府采购活动。</w:t>
      </w:r>
    </w:p>
    <w:p w14:paraId="1D66CD86">
      <w:pPr>
        <w:pStyle w:val="4"/>
        <w:spacing w:before="171"/>
        <w:ind w:left="295" w:right="362"/>
        <w:jc w:val="center"/>
        <w:rPr>
          <w:color w:val="auto"/>
          <w:sz w:val="32"/>
          <w:szCs w:val="32"/>
          <w:highlight w:val="none"/>
        </w:rPr>
      </w:pPr>
      <w:bookmarkStart w:id="204" w:name="_Toc14151"/>
      <w:bookmarkStart w:id="205" w:name="_Toc10229"/>
      <w:bookmarkStart w:id="206" w:name="_Toc17186"/>
      <w:bookmarkStart w:id="207" w:name="_Toc4345"/>
      <w:bookmarkStart w:id="208" w:name="_Toc30973"/>
      <w:r>
        <w:rPr>
          <w:color w:val="auto"/>
          <w:sz w:val="32"/>
          <w:szCs w:val="32"/>
          <w:highlight w:val="none"/>
        </w:rPr>
        <w:t>资格审查表</w:t>
      </w:r>
      <w:bookmarkEnd w:id="204"/>
      <w:bookmarkEnd w:id="205"/>
      <w:bookmarkEnd w:id="206"/>
      <w:bookmarkEnd w:id="207"/>
      <w:bookmarkEnd w:id="208"/>
    </w:p>
    <w:p w14:paraId="2E8FC82F">
      <w:pPr>
        <w:pStyle w:val="9"/>
        <w:spacing w:before="8"/>
        <w:ind w:left="0"/>
        <w:rPr>
          <w:rFonts w:hint="eastAsia" w:eastAsia="宋体"/>
          <w:color w:val="auto"/>
          <w:sz w:val="24"/>
          <w:szCs w:val="24"/>
          <w:highlight w:val="none"/>
          <w:lang w:eastAsia="zh-CN"/>
        </w:rPr>
      </w:pPr>
      <w:r>
        <w:rPr>
          <w:rFonts w:hint="eastAsia"/>
          <w:color w:val="auto"/>
          <w:sz w:val="24"/>
          <w:szCs w:val="24"/>
          <w:highlight w:val="none"/>
          <w:lang w:eastAsia="zh-CN"/>
        </w:rPr>
        <w:t>2022年-2024年巡游出租车运营成本、浮桥通行成本监审（调查）项目</w:t>
      </w:r>
    </w:p>
    <w:tbl>
      <w:tblPr>
        <w:tblStyle w:val="19"/>
        <w:tblW w:w="105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456"/>
        <w:gridCol w:w="8095"/>
      </w:tblGrid>
      <w:tr w14:paraId="64636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456" w:type="dxa"/>
            <w:vAlign w:val="center"/>
          </w:tcPr>
          <w:p w14:paraId="7147245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具有独立承担民事责任的能</w:t>
            </w:r>
            <w:r>
              <w:rPr>
                <w:rFonts w:hint="eastAsia" w:ascii="宋体" w:hAnsi="宋体" w:eastAsia="宋体" w:cs="宋体"/>
                <w:color w:val="auto"/>
                <w:w w:val="101"/>
                <w:sz w:val="24"/>
                <w:szCs w:val="24"/>
                <w:highlight w:val="none"/>
              </w:rPr>
              <w:t>力</w:t>
            </w:r>
          </w:p>
        </w:tc>
        <w:tc>
          <w:tcPr>
            <w:tcW w:w="8095" w:type="dxa"/>
            <w:vAlign w:val="center"/>
          </w:tcPr>
          <w:p w14:paraId="2684E9B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审查供应商营业执照。（提供复印件加盖公章附在响应文件中)</w:t>
            </w:r>
          </w:p>
        </w:tc>
      </w:tr>
      <w:tr w14:paraId="2F9E26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jc w:val="center"/>
        </w:trPr>
        <w:tc>
          <w:tcPr>
            <w:tcW w:w="2456" w:type="dxa"/>
            <w:vAlign w:val="center"/>
          </w:tcPr>
          <w:p w14:paraId="74DD088F">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具有良好的商业信誉和健全的财务会计制度</w:t>
            </w:r>
          </w:p>
        </w:tc>
        <w:tc>
          <w:tcPr>
            <w:tcW w:w="8095" w:type="dxa"/>
            <w:vAlign w:val="center"/>
          </w:tcPr>
          <w:p w14:paraId="4F16CA9E">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审查供应商</w:t>
            </w:r>
            <w:r>
              <w:rPr>
                <w:rFonts w:hint="eastAsia" w:ascii="宋体" w:hAnsi="宋体" w:eastAsia="宋体" w:cs="宋体"/>
                <w:color w:val="auto"/>
                <w:sz w:val="24"/>
                <w:szCs w:val="24"/>
                <w:highlight w:val="none"/>
                <w:lang w:val="en-US" w:eastAsia="zh-CN"/>
              </w:rPr>
              <w:t>2024年</w:t>
            </w:r>
            <w:r>
              <w:rPr>
                <w:rFonts w:hint="eastAsia" w:ascii="宋体" w:hAnsi="宋体" w:eastAsia="宋体" w:cs="宋体"/>
                <w:color w:val="auto"/>
                <w:sz w:val="24"/>
                <w:szCs w:val="24"/>
                <w:highlight w:val="none"/>
              </w:rPr>
              <w:t>度财务审计报告</w:t>
            </w:r>
            <w:r>
              <w:rPr>
                <w:rFonts w:hint="eastAsia" w:ascii="宋体" w:hAnsi="宋体" w:eastAsia="宋体" w:cs="宋体"/>
                <w:color w:val="auto"/>
                <w:sz w:val="24"/>
                <w:szCs w:val="24"/>
                <w:highlight w:val="none"/>
                <w:lang w:val="en-US" w:eastAsia="zh-CN"/>
              </w:rPr>
              <w:t>或财务报表</w:t>
            </w:r>
            <w:r>
              <w:rPr>
                <w:rFonts w:hint="eastAsia" w:ascii="宋体" w:hAnsi="宋体" w:eastAsia="宋体" w:cs="宋体"/>
                <w:color w:val="auto"/>
                <w:sz w:val="24"/>
                <w:szCs w:val="24"/>
                <w:highlight w:val="none"/>
                <w:lang w:eastAsia="zh-CN"/>
              </w:rPr>
              <w:t>。（提供复印件加盖公章附在响应文件中)</w:t>
            </w:r>
          </w:p>
        </w:tc>
      </w:tr>
      <w:tr w14:paraId="20072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6" w:hRule="atLeast"/>
          <w:jc w:val="center"/>
        </w:trPr>
        <w:tc>
          <w:tcPr>
            <w:tcW w:w="2456" w:type="dxa"/>
            <w:vAlign w:val="center"/>
          </w:tcPr>
          <w:p w14:paraId="3738A093">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有依法缴纳税收和社会保障资金的良好记录</w:t>
            </w:r>
          </w:p>
        </w:tc>
        <w:tc>
          <w:tcPr>
            <w:tcW w:w="8095" w:type="dxa"/>
            <w:vAlign w:val="center"/>
          </w:tcPr>
          <w:p w14:paraId="1E05005D">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1.提供递交响应文件截止之日前一年内（至少一个月）的良好缴纳税收的相关材料。 </w:t>
            </w:r>
          </w:p>
          <w:p w14:paraId="3B253D48">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2.提供递交响应文件截止之日前一年内（至少一个月）缴纳社会保险的相关材料。 </w:t>
            </w:r>
          </w:p>
          <w:p w14:paraId="7A4F2D3B">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注：依法免税或不需要缴纳社保的供应商，应提供相应文件证明其依法免税证明。（提供复印件加盖公章附在响应文件中)</w:t>
            </w:r>
          </w:p>
        </w:tc>
      </w:tr>
      <w:tr w14:paraId="4DA97B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456" w:type="dxa"/>
            <w:vAlign w:val="center"/>
          </w:tcPr>
          <w:p w14:paraId="6E3543A6">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具有履行合同所必须的设备和专业技术能力</w:t>
            </w:r>
          </w:p>
        </w:tc>
        <w:tc>
          <w:tcPr>
            <w:tcW w:w="8095" w:type="dxa"/>
            <w:vAlign w:val="center"/>
          </w:tcPr>
          <w:p w14:paraId="5FD2295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审查供应商出具的“具有履行合同所必须的设备和专业技术能力”</w:t>
            </w:r>
            <w:r>
              <w:rPr>
                <w:rFonts w:hint="eastAsia" w:ascii="宋体" w:hAnsi="宋体" w:eastAsia="宋体" w:cs="宋体"/>
                <w:color w:val="auto"/>
                <w:sz w:val="24"/>
                <w:szCs w:val="24"/>
                <w:highlight w:val="none"/>
                <w:lang w:val="en-US" w:eastAsia="zh-CN"/>
              </w:rPr>
              <w:t>的承诺</w:t>
            </w:r>
            <w:r>
              <w:rPr>
                <w:rFonts w:hint="eastAsia" w:ascii="宋体" w:hAnsi="宋体" w:eastAsia="宋体" w:cs="宋体"/>
                <w:color w:val="auto"/>
                <w:sz w:val="24"/>
                <w:szCs w:val="24"/>
                <w:highlight w:val="none"/>
              </w:rPr>
              <w:t>函。（加盖公章附在响应文件中)</w:t>
            </w:r>
          </w:p>
        </w:tc>
      </w:tr>
      <w:tr w14:paraId="77E5E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3" w:hRule="atLeast"/>
          <w:jc w:val="center"/>
        </w:trPr>
        <w:tc>
          <w:tcPr>
            <w:tcW w:w="2456" w:type="dxa"/>
            <w:vAlign w:val="center"/>
          </w:tcPr>
          <w:p w14:paraId="1E7B3D55">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参加采购活动前3年内，在经营活动中没有重大违法记</w:t>
            </w:r>
            <w:r>
              <w:rPr>
                <w:rFonts w:hint="eastAsia" w:ascii="宋体" w:hAnsi="宋体" w:eastAsia="宋体" w:cs="宋体"/>
                <w:color w:val="auto"/>
                <w:w w:val="101"/>
                <w:sz w:val="24"/>
                <w:szCs w:val="24"/>
                <w:highlight w:val="none"/>
              </w:rPr>
              <w:t>录</w:t>
            </w:r>
          </w:p>
        </w:tc>
        <w:tc>
          <w:tcPr>
            <w:tcW w:w="8095" w:type="dxa"/>
            <w:vAlign w:val="center"/>
          </w:tcPr>
          <w:p w14:paraId="2B34B6E0">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审查供应商参加本次采购活动前3年内在经营活动中没有重大违法记录的</w:t>
            </w:r>
            <w:r>
              <w:rPr>
                <w:rFonts w:hint="eastAsia" w:ascii="宋体" w:hAnsi="宋体" w:eastAsia="宋体" w:cs="宋体"/>
                <w:color w:val="auto"/>
                <w:sz w:val="24"/>
                <w:szCs w:val="24"/>
                <w:highlight w:val="none"/>
                <w:lang w:val="en-US" w:eastAsia="zh-CN"/>
              </w:rPr>
              <w:t>承诺</w:t>
            </w:r>
            <w:r>
              <w:rPr>
                <w:rFonts w:hint="eastAsia" w:ascii="宋体" w:hAnsi="宋体" w:eastAsia="宋体" w:cs="宋体"/>
                <w:color w:val="auto"/>
                <w:sz w:val="24"/>
                <w:szCs w:val="24"/>
                <w:highlight w:val="none"/>
              </w:rPr>
              <w:t>函。（加盖公章附在响应文件中)</w:t>
            </w:r>
          </w:p>
        </w:tc>
      </w:tr>
      <w:tr w14:paraId="5F758F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34" w:hRule="atLeast"/>
          <w:jc w:val="center"/>
        </w:trPr>
        <w:tc>
          <w:tcPr>
            <w:tcW w:w="2456" w:type="dxa"/>
            <w:vAlign w:val="center"/>
          </w:tcPr>
          <w:p w14:paraId="4DAE06A3">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p>
          <w:p w14:paraId="557FF64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信用记录</w:t>
            </w:r>
          </w:p>
        </w:tc>
        <w:tc>
          <w:tcPr>
            <w:tcW w:w="8095" w:type="dxa"/>
            <w:vAlign w:val="center"/>
          </w:tcPr>
          <w:p w14:paraId="09CA814C">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审查</w:t>
            </w:r>
            <w:r>
              <w:rPr>
                <w:rFonts w:hint="eastAsia" w:ascii="宋体" w:hAnsi="宋体" w:eastAsia="宋体" w:cs="宋体"/>
                <w:color w:val="auto"/>
                <w:sz w:val="24"/>
                <w:szCs w:val="24"/>
                <w:highlight w:val="none"/>
              </w:rPr>
              <w:t>供应商在“信用中国”网站（www.creditchina.gov.cn）中重大税收违法失信主体、政府采购严重违法失信行为记录名单，“中国执行信息公开网”网站（http://zxgk.court.gov.cn/）未被列入失信被执行人行为名单查询截图。（加盖公章附在响应文件中)</w:t>
            </w:r>
          </w:p>
        </w:tc>
      </w:tr>
      <w:tr w14:paraId="11DEC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7" w:hRule="atLeast"/>
          <w:jc w:val="center"/>
        </w:trPr>
        <w:tc>
          <w:tcPr>
            <w:tcW w:w="2456" w:type="dxa"/>
            <w:vAlign w:val="center"/>
          </w:tcPr>
          <w:p w14:paraId="059D2778">
            <w:pPr>
              <w:pStyle w:val="28"/>
              <w:spacing w:before="1"/>
              <w:ind w:left="0" w:leftChars="0" w:right="0" w:rightChars="0"/>
              <w:jc w:val="center"/>
              <w:rPr>
                <w:rFonts w:hint="eastAsia" w:ascii="宋体" w:hAnsi="宋体" w:eastAsia="宋体" w:cs="宋体"/>
                <w:color w:val="auto"/>
                <w:sz w:val="24"/>
                <w:szCs w:val="24"/>
                <w:highlight w:val="none"/>
              </w:rPr>
            </w:pPr>
            <w:r>
              <w:rPr>
                <w:rFonts w:hint="eastAsia" w:cs="宋体"/>
                <w:sz w:val="24"/>
                <w:szCs w:val="24"/>
                <w:highlight w:val="none"/>
                <w:lang w:val="en-US" w:eastAsia="zh-CN"/>
              </w:rPr>
              <w:t>特定资质</w:t>
            </w:r>
          </w:p>
        </w:tc>
        <w:tc>
          <w:tcPr>
            <w:tcW w:w="8095" w:type="dxa"/>
            <w:vAlign w:val="top"/>
          </w:tcPr>
          <w:p w14:paraId="621CBDD7">
            <w:pPr>
              <w:pStyle w:val="28"/>
              <w:numPr>
                <w:ilvl w:val="0"/>
                <w:numId w:val="0"/>
              </w:numPr>
              <w:spacing w:before="24" w:line="259" w:lineRule="auto"/>
              <w:ind w:left="0" w:leftChars="0" w:right="110" w:rightChars="0" w:firstLine="0" w:firstLineChars="0"/>
              <w:jc w:val="left"/>
              <w:rPr>
                <w:rFonts w:hint="eastAsia" w:ascii="宋体" w:hAnsi="宋体" w:eastAsia="宋体" w:cs="宋体"/>
                <w:color w:val="auto"/>
                <w:sz w:val="24"/>
                <w:szCs w:val="24"/>
                <w:highlight w:val="none"/>
                <w:lang w:val="en-US" w:eastAsia="zh-CN"/>
              </w:rPr>
            </w:pPr>
            <w:r>
              <w:rPr>
                <w:rFonts w:hint="eastAsia" w:cs="宋体"/>
                <w:i w:val="0"/>
                <w:iCs w:val="0"/>
                <w:caps w:val="0"/>
                <w:color w:val="000000"/>
                <w:spacing w:val="0"/>
                <w:sz w:val="24"/>
                <w:szCs w:val="24"/>
                <w:highlight w:val="none"/>
                <w:shd w:val="clear" w:fill="FFFFFF"/>
                <w:lang w:val="en-US" w:eastAsia="zh-CN"/>
              </w:rPr>
              <w:t>具有须备会计师事务所执业证书并在有效期内。证书复印件放入响应文件中加盖公章。</w:t>
            </w:r>
          </w:p>
        </w:tc>
      </w:tr>
      <w:tr w14:paraId="7F4299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456" w:type="dxa"/>
            <w:vAlign w:val="center"/>
          </w:tcPr>
          <w:p w14:paraId="13A2FA62">
            <w:pPr>
              <w:pStyle w:val="28"/>
              <w:spacing w:before="1"/>
              <w:ind w:left="0" w:leftChars="0" w:right="0" w:rightChars="0"/>
              <w:jc w:val="center"/>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项目负责人</w:t>
            </w:r>
          </w:p>
        </w:tc>
        <w:tc>
          <w:tcPr>
            <w:tcW w:w="8095" w:type="dxa"/>
            <w:vAlign w:val="top"/>
          </w:tcPr>
          <w:p w14:paraId="45C291AF">
            <w:pPr>
              <w:pStyle w:val="28"/>
              <w:keepNext w:val="0"/>
              <w:keepLines w:val="0"/>
              <w:pageBreakBefore w:val="0"/>
              <w:widowControl w:val="0"/>
              <w:numPr>
                <w:ilvl w:val="0"/>
                <w:numId w:val="0"/>
              </w:numPr>
              <w:kinsoku/>
              <w:wordWrap w:val="0"/>
              <w:overflowPunct/>
              <w:topLinePunct w:val="0"/>
              <w:autoSpaceDE w:val="0"/>
              <w:autoSpaceDN w:val="0"/>
              <w:bidi w:val="0"/>
              <w:adjustRightInd/>
              <w:snapToGrid/>
              <w:spacing w:before="24" w:line="260" w:lineRule="auto"/>
              <w:ind w:left="0" w:leftChars="0" w:right="108" w:rightChars="0" w:firstLine="0" w:firstLineChars="0"/>
              <w:jc w:val="left"/>
              <w:textAlignment w:val="auto"/>
              <w:rPr>
                <w:rFonts w:hint="eastAsia" w:ascii="宋体" w:hAnsi="宋体" w:eastAsia="宋体" w:cs="宋体"/>
                <w:color w:val="auto"/>
                <w:sz w:val="24"/>
                <w:szCs w:val="24"/>
                <w:highlight w:val="none"/>
                <w:lang w:val="en-US" w:eastAsia="zh-CN"/>
              </w:rPr>
            </w:pPr>
            <w:r>
              <w:rPr>
                <w:rFonts w:hint="eastAsia" w:cs="宋体"/>
                <w:i w:val="0"/>
                <w:iCs w:val="0"/>
                <w:caps w:val="0"/>
                <w:color w:val="000000"/>
                <w:spacing w:val="0"/>
                <w:sz w:val="24"/>
                <w:szCs w:val="24"/>
                <w:highlight w:val="none"/>
                <w:shd w:val="clear" w:fill="FFFFFF"/>
                <w:lang w:val="en-US" w:eastAsia="zh-CN"/>
              </w:rPr>
              <w:t>拟派项目负责人须具有注册会计师资格。提供注册会计师证书、劳动合同、社保缴纳证明复印件放入响应文件中加盖公章。如退休人员须提供注册会计师证书、退休证明、聘用合同复印件放入响应文件中加盖公章。</w:t>
            </w:r>
          </w:p>
        </w:tc>
      </w:tr>
    </w:tbl>
    <w:p w14:paraId="7E82B1CA">
      <w:pPr>
        <w:pStyle w:val="9"/>
        <w:spacing w:before="8"/>
        <w:ind w:left="0"/>
        <w:rPr>
          <w:color w:val="auto"/>
          <w:sz w:val="16"/>
          <w:highlight w:val="none"/>
        </w:rPr>
      </w:pPr>
    </w:p>
    <w:p w14:paraId="1A4F0EB6">
      <w:pPr>
        <w:pStyle w:val="4"/>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18" w:firstLineChars="200"/>
        <w:jc w:val="left"/>
        <w:textAlignment w:val="auto"/>
        <w:rPr>
          <w:color w:val="auto"/>
          <w:sz w:val="24"/>
          <w:szCs w:val="24"/>
          <w:highlight w:val="none"/>
        </w:rPr>
      </w:pPr>
      <w:bookmarkStart w:id="209" w:name="_Toc28002"/>
      <w:bookmarkStart w:id="210" w:name="_Toc3316"/>
      <w:bookmarkStart w:id="211" w:name="_Toc23753"/>
      <w:bookmarkStart w:id="212" w:name="_Toc8486"/>
      <w:bookmarkStart w:id="213" w:name="_Toc3461"/>
      <w:r>
        <w:rPr>
          <w:color w:val="auto"/>
          <w:spacing w:val="9"/>
          <w:sz w:val="24"/>
          <w:szCs w:val="24"/>
          <w:highlight w:val="none"/>
        </w:rPr>
        <w:t>符合性审查</w:t>
      </w:r>
      <w:bookmarkEnd w:id="209"/>
      <w:bookmarkEnd w:id="210"/>
      <w:bookmarkEnd w:id="211"/>
      <w:bookmarkEnd w:id="212"/>
      <w:bookmarkEnd w:id="213"/>
    </w:p>
    <w:p w14:paraId="73155946">
      <w:pPr>
        <w:pStyle w:val="27"/>
        <w:keepNext w:val="0"/>
        <w:keepLines w:val="0"/>
        <w:pageBreakBefore w:val="0"/>
        <w:widowControl w:val="0"/>
        <w:numPr>
          <w:ilvl w:val="1"/>
          <w:numId w:val="13"/>
        </w:numPr>
        <w:tabs>
          <w:tab w:val="left" w:pos="851"/>
        </w:tabs>
        <w:kinsoku/>
        <w:wordWrap/>
        <w:overflowPunct/>
        <w:topLinePunct w:val="0"/>
        <w:autoSpaceDE w:val="0"/>
        <w:autoSpaceDN w:val="0"/>
        <w:bidi w:val="0"/>
        <w:adjustRightInd/>
        <w:snapToGrid/>
        <w:spacing w:before="0" w:after="0" w:line="360" w:lineRule="auto"/>
        <w:ind w:left="0" w:right="0" w:firstLine="476" w:firstLineChars="200"/>
        <w:jc w:val="left"/>
        <w:textAlignment w:val="auto"/>
        <w:rPr>
          <w:color w:val="auto"/>
          <w:sz w:val="24"/>
          <w:szCs w:val="24"/>
          <w:highlight w:val="none"/>
        </w:rPr>
      </w:pPr>
      <w:r>
        <w:rPr>
          <w:color w:val="auto"/>
          <w:spacing w:val="-1"/>
          <w:sz w:val="24"/>
          <w:szCs w:val="24"/>
          <w:highlight w:val="none"/>
        </w:rPr>
        <w:t>磋商小组依据磋商文件的规定，从响应文件的有效性、完整性和对磋商文件的响应程度进行审查，以确定是否对磋商</w:t>
      </w:r>
      <w:r>
        <w:rPr>
          <w:color w:val="auto"/>
          <w:sz w:val="24"/>
          <w:szCs w:val="24"/>
          <w:highlight w:val="none"/>
        </w:rPr>
        <w:t>文件的实质性要求作出响应。</w:t>
      </w:r>
    </w:p>
    <w:p w14:paraId="2678EE06">
      <w:pPr>
        <w:pStyle w:val="9"/>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480" w:firstLineChars="200"/>
        <w:textAlignment w:val="auto"/>
        <w:rPr>
          <w:color w:val="auto"/>
          <w:sz w:val="24"/>
          <w:szCs w:val="24"/>
          <w:highlight w:val="none"/>
        </w:rPr>
      </w:pPr>
      <w:r>
        <w:rPr>
          <w:color w:val="auto"/>
          <w:sz w:val="24"/>
          <w:szCs w:val="24"/>
          <w:highlight w:val="none"/>
        </w:rPr>
        <w:t>符合性审查中有任意一项未通过的，评审结果为未通过，未通过符合性审查的供应商按无效响应处理。</w:t>
      </w:r>
    </w:p>
    <w:p w14:paraId="22070416">
      <w:pPr>
        <w:pStyle w:val="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643" w:firstLineChars="200"/>
        <w:jc w:val="center"/>
        <w:textAlignment w:val="auto"/>
        <w:rPr>
          <w:color w:val="auto"/>
          <w:sz w:val="32"/>
          <w:szCs w:val="32"/>
          <w:highlight w:val="none"/>
        </w:rPr>
      </w:pPr>
      <w:bookmarkStart w:id="214" w:name="_Toc6454"/>
      <w:bookmarkStart w:id="215" w:name="_Toc20612"/>
      <w:bookmarkStart w:id="216" w:name="_Toc15023"/>
      <w:bookmarkStart w:id="217" w:name="_Toc21475"/>
      <w:bookmarkStart w:id="218" w:name="_Toc21902"/>
      <w:r>
        <w:rPr>
          <w:color w:val="auto"/>
          <w:sz w:val="32"/>
          <w:szCs w:val="32"/>
          <w:highlight w:val="none"/>
        </w:rPr>
        <w:t>符合性审查表</w:t>
      </w:r>
      <w:bookmarkEnd w:id="214"/>
      <w:bookmarkEnd w:id="215"/>
      <w:bookmarkEnd w:id="216"/>
      <w:bookmarkEnd w:id="217"/>
      <w:bookmarkEnd w:id="218"/>
    </w:p>
    <w:p w14:paraId="69988902">
      <w:pPr>
        <w:pStyle w:val="9"/>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both"/>
        <w:textAlignment w:val="auto"/>
        <w:rPr>
          <w:rFonts w:hint="eastAsia" w:eastAsia="宋体"/>
          <w:color w:val="auto"/>
          <w:sz w:val="24"/>
          <w:szCs w:val="24"/>
          <w:highlight w:val="none"/>
          <w:lang w:eastAsia="zh-CN"/>
        </w:rPr>
      </w:pPr>
      <w:r>
        <w:rPr>
          <w:rFonts w:hint="eastAsia"/>
          <w:color w:val="auto"/>
          <w:sz w:val="24"/>
          <w:szCs w:val="24"/>
          <w:highlight w:val="none"/>
          <w:lang w:eastAsia="zh-CN"/>
        </w:rPr>
        <w:t>2022年-2024年巡游出租车运营成本、浮桥通行成本监审（调查）项目</w:t>
      </w:r>
    </w:p>
    <w:tbl>
      <w:tblPr>
        <w:tblStyle w:val="19"/>
        <w:tblW w:w="1055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605"/>
        <w:gridCol w:w="7946"/>
      </w:tblGrid>
      <w:tr w14:paraId="05639E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2" w:hRule="atLeast"/>
          <w:jc w:val="center"/>
        </w:trPr>
        <w:tc>
          <w:tcPr>
            <w:tcW w:w="2605" w:type="dxa"/>
            <w:vAlign w:val="center"/>
          </w:tcPr>
          <w:p w14:paraId="0F95BD4E">
            <w:pPr>
              <w:pStyle w:val="28"/>
              <w:spacing w:before="60"/>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投标及保证金缴纳情况</w:t>
            </w:r>
          </w:p>
        </w:tc>
        <w:tc>
          <w:tcPr>
            <w:tcW w:w="7946" w:type="dxa"/>
          </w:tcPr>
          <w:p w14:paraId="193E303E">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不收取保证金。</w:t>
            </w:r>
          </w:p>
        </w:tc>
      </w:tr>
      <w:tr w14:paraId="43A8B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9" w:hRule="atLeast"/>
          <w:jc w:val="center"/>
        </w:trPr>
        <w:tc>
          <w:tcPr>
            <w:tcW w:w="2605" w:type="dxa"/>
            <w:vAlign w:val="center"/>
          </w:tcPr>
          <w:p w14:paraId="46E2BF70">
            <w:pPr>
              <w:pStyle w:val="28"/>
              <w:ind w:left="100"/>
              <w:jc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投标</w:t>
            </w:r>
            <w:r>
              <w:rPr>
                <w:rFonts w:hint="eastAsia" w:ascii="宋体" w:hAnsi="宋体" w:eastAsia="宋体" w:cs="宋体"/>
                <w:color w:val="auto"/>
                <w:sz w:val="24"/>
                <w:szCs w:val="24"/>
                <w:highlight w:val="none"/>
                <w:lang w:eastAsia="zh-CN"/>
              </w:rPr>
              <w:t>响应</w:t>
            </w:r>
          </w:p>
        </w:tc>
        <w:tc>
          <w:tcPr>
            <w:tcW w:w="7946" w:type="dxa"/>
          </w:tcPr>
          <w:p w14:paraId="48DEAAF3">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投标响应（包括分项响应，投标总响应）只能有一个有效响应且不超过采购预算或最高限价，投标响应不得缺项、漏项。</w:t>
            </w:r>
          </w:p>
        </w:tc>
      </w:tr>
      <w:tr w14:paraId="14DA31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605" w:type="dxa"/>
            <w:vAlign w:val="center"/>
          </w:tcPr>
          <w:p w14:paraId="4E43AD31">
            <w:pPr>
              <w:pStyle w:val="28"/>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投标文件规范性、符合性</w:t>
            </w:r>
          </w:p>
        </w:tc>
        <w:tc>
          <w:tcPr>
            <w:tcW w:w="7946" w:type="dxa"/>
          </w:tcPr>
          <w:p w14:paraId="77C14D0C">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响应文件的签署、盖章、涂改、删除、插字、公章使用等符合磋商文件要求；响应文件文件的格式、文字、目录等符合磋商文件要求或对投标无实质性影响。</w:t>
            </w:r>
          </w:p>
        </w:tc>
      </w:tr>
      <w:tr w14:paraId="2D9433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605" w:type="dxa"/>
            <w:vAlign w:val="center"/>
          </w:tcPr>
          <w:p w14:paraId="226E68D1">
            <w:pPr>
              <w:pStyle w:val="28"/>
              <w:spacing w:before="60"/>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主要商务条款</w:t>
            </w:r>
          </w:p>
        </w:tc>
        <w:tc>
          <w:tcPr>
            <w:tcW w:w="7946" w:type="dxa"/>
          </w:tcPr>
          <w:p w14:paraId="32DE2107">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审查供应商出具的“满足主要商务条款的承诺书”，且进行盖章。</w:t>
            </w:r>
          </w:p>
        </w:tc>
      </w:tr>
      <w:tr w14:paraId="40A1F3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605" w:type="dxa"/>
            <w:vAlign w:val="center"/>
          </w:tcPr>
          <w:p w14:paraId="0115CBEB">
            <w:pPr>
              <w:pStyle w:val="28"/>
              <w:spacing w:before="60"/>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联合体投标</w:t>
            </w:r>
          </w:p>
        </w:tc>
        <w:tc>
          <w:tcPr>
            <w:tcW w:w="7946" w:type="dxa"/>
          </w:tcPr>
          <w:p w14:paraId="1F614B0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符合关于联合体投标的相关规定</w:t>
            </w:r>
          </w:p>
        </w:tc>
      </w:tr>
      <w:tr w14:paraId="3FC874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605" w:type="dxa"/>
            <w:vAlign w:val="center"/>
          </w:tcPr>
          <w:p w14:paraId="6DF635AA">
            <w:pPr>
              <w:pStyle w:val="28"/>
              <w:spacing w:before="9"/>
              <w:jc w:val="center"/>
              <w:rPr>
                <w:rFonts w:hint="eastAsia" w:ascii="宋体" w:hAnsi="宋体" w:eastAsia="宋体" w:cs="宋体"/>
                <w:color w:val="auto"/>
                <w:sz w:val="24"/>
                <w:szCs w:val="24"/>
                <w:highlight w:val="none"/>
              </w:rPr>
            </w:pPr>
          </w:p>
          <w:p w14:paraId="5BEBEB9E">
            <w:pPr>
              <w:pStyle w:val="28"/>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技术部分实质性内容</w:t>
            </w:r>
          </w:p>
        </w:tc>
        <w:tc>
          <w:tcPr>
            <w:tcW w:w="7946" w:type="dxa"/>
            <w:vAlign w:val="center"/>
          </w:tcPr>
          <w:p w14:paraId="5A0572BF">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1.明确所投标的的产品品牌、规格型号或服务内容或工程量； </w:t>
            </w:r>
          </w:p>
          <w:p w14:paraId="18C3F897">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2.响应文件应当对磋商文件提出的要求和条件作出明确响应并满足磋商文件全部实质性要求。</w:t>
            </w:r>
          </w:p>
        </w:tc>
      </w:tr>
      <w:tr w14:paraId="05FE3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605" w:type="dxa"/>
            <w:vAlign w:val="center"/>
          </w:tcPr>
          <w:p w14:paraId="35B7E8D8">
            <w:pPr>
              <w:pStyle w:val="28"/>
              <w:spacing w:before="60"/>
              <w:ind w:left="100"/>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其他要求</w:t>
            </w:r>
          </w:p>
        </w:tc>
        <w:tc>
          <w:tcPr>
            <w:tcW w:w="7946" w:type="dxa"/>
            <w:vAlign w:val="center"/>
          </w:tcPr>
          <w:p w14:paraId="3E16F452">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磋商文件要求的其他无效投标情形；围标、串标和法律法规规定的其它无效投标条款。</w:t>
            </w:r>
          </w:p>
        </w:tc>
      </w:tr>
      <w:tr w14:paraId="22288A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605" w:type="dxa"/>
            <w:vAlign w:val="center"/>
          </w:tcPr>
          <w:p w14:paraId="2F9144F9">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服务期限</w:t>
            </w:r>
          </w:p>
        </w:tc>
        <w:tc>
          <w:tcPr>
            <w:tcW w:w="7946" w:type="dxa"/>
            <w:vAlign w:val="center"/>
          </w:tcPr>
          <w:p w14:paraId="74A3C58F">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eastAsia"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巡游出租车运营成本监审（调查）2025年9月30日完成，浮桥通行成本监审（调查）2025年9月30日完成。</w:t>
            </w:r>
          </w:p>
        </w:tc>
      </w:tr>
      <w:tr w14:paraId="152179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605" w:type="dxa"/>
            <w:vAlign w:val="center"/>
          </w:tcPr>
          <w:p w14:paraId="41453021">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jc w:val="center"/>
              <w:textAlignment w:val="auto"/>
              <w:rPr>
                <w:rFonts w:hint="eastAsia" w:cs="宋体"/>
                <w:color w:val="auto"/>
                <w:sz w:val="24"/>
                <w:szCs w:val="24"/>
                <w:highlight w:val="none"/>
                <w:lang w:val="en-US" w:eastAsia="zh-CN"/>
              </w:rPr>
            </w:pPr>
            <w:r>
              <w:rPr>
                <w:rFonts w:hint="eastAsia" w:ascii="宋体" w:hAnsi="宋体" w:eastAsia="宋体" w:cs="宋体"/>
                <w:sz w:val="24"/>
                <w:szCs w:val="24"/>
                <w:highlight w:val="none"/>
                <w:lang w:val="en-US" w:eastAsia="zh-CN"/>
              </w:rPr>
              <w:t>服务地点</w:t>
            </w:r>
          </w:p>
        </w:tc>
        <w:tc>
          <w:tcPr>
            <w:tcW w:w="7946" w:type="dxa"/>
            <w:vAlign w:val="center"/>
          </w:tcPr>
          <w:p w14:paraId="7FF210AC">
            <w:pPr>
              <w:pStyle w:val="28"/>
              <w:keepNext w:val="0"/>
              <w:keepLines w:val="0"/>
              <w:pageBreakBefore w:val="0"/>
              <w:widowControl w:val="0"/>
              <w:kinsoku/>
              <w:wordWrap/>
              <w:overflowPunct/>
              <w:topLinePunct w:val="0"/>
              <w:autoSpaceDE w:val="0"/>
              <w:autoSpaceDN w:val="0"/>
              <w:bidi w:val="0"/>
              <w:adjustRightInd/>
              <w:snapToGrid/>
              <w:spacing w:before="0" w:line="240" w:lineRule="auto"/>
              <w:ind w:left="0" w:right="0"/>
              <w:jc w:val="both"/>
              <w:textAlignment w:val="auto"/>
              <w:rPr>
                <w:rFonts w:hint="default" w:ascii="宋体" w:hAnsi="宋体" w:eastAsia="宋体" w:cs="宋体"/>
                <w:color w:val="auto"/>
                <w:sz w:val="24"/>
                <w:szCs w:val="24"/>
                <w:highlight w:val="none"/>
                <w:lang w:val="en-US" w:eastAsia="zh-CN"/>
              </w:rPr>
            </w:pPr>
            <w:r>
              <w:rPr>
                <w:rFonts w:hint="eastAsia" w:cs="宋体"/>
                <w:color w:val="auto"/>
                <w:sz w:val="24"/>
                <w:szCs w:val="24"/>
                <w:highlight w:val="none"/>
                <w:lang w:val="en-US" w:eastAsia="zh-CN"/>
              </w:rPr>
              <w:t>乌海市</w:t>
            </w:r>
          </w:p>
        </w:tc>
      </w:tr>
    </w:tbl>
    <w:p w14:paraId="506E8FB3">
      <w:pPr>
        <w:pStyle w:val="9"/>
        <w:spacing w:before="11"/>
        <w:ind w:left="0"/>
        <w:rPr>
          <w:color w:val="auto"/>
          <w:sz w:val="15"/>
          <w:highlight w:val="none"/>
        </w:rPr>
      </w:pPr>
    </w:p>
    <w:p w14:paraId="1B7606A8">
      <w:pPr>
        <w:pStyle w:val="4"/>
        <w:numPr>
          <w:ilvl w:val="0"/>
          <w:numId w:val="13"/>
        </w:numPr>
        <w:tabs>
          <w:tab w:val="left" w:pos="845"/>
        </w:tabs>
        <w:spacing w:before="70" w:after="0" w:line="360" w:lineRule="auto"/>
        <w:ind w:left="844" w:right="0" w:hanging="307"/>
        <w:jc w:val="left"/>
        <w:rPr>
          <w:color w:val="auto"/>
          <w:sz w:val="24"/>
          <w:szCs w:val="24"/>
          <w:highlight w:val="none"/>
        </w:rPr>
      </w:pPr>
      <w:bookmarkStart w:id="219" w:name="_Toc5544"/>
      <w:bookmarkStart w:id="220" w:name="_Toc29824"/>
      <w:bookmarkStart w:id="221" w:name="_Toc11817"/>
      <w:bookmarkStart w:id="222" w:name="_Toc20881"/>
      <w:bookmarkStart w:id="223" w:name="_Toc28643"/>
      <w:r>
        <w:rPr>
          <w:color w:val="auto"/>
          <w:spacing w:val="6"/>
          <w:sz w:val="24"/>
          <w:szCs w:val="24"/>
          <w:highlight w:val="none"/>
        </w:rPr>
        <w:t>磋商</w:t>
      </w:r>
      <w:bookmarkEnd w:id="219"/>
      <w:bookmarkEnd w:id="220"/>
      <w:bookmarkEnd w:id="221"/>
      <w:bookmarkEnd w:id="222"/>
      <w:bookmarkEnd w:id="223"/>
    </w:p>
    <w:p w14:paraId="48F1C6C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磋商小组所有成员应当集中与单一供应商分别进行磋商，并给予所有参加磋商的供应商平等的磋商机会。</w:t>
      </w:r>
    </w:p>
    <w:p w14:paraId="2E7EE76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25E44C3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对磋商文件作出的实质性变动是磋商文件的有效组成部分，磋商小组应当及时通过政府采购云平台同时通知所有参加磋商的供应商。</w:t>
      </w:r>
    </w:p>
    <w:p w14:paraId="4AA57E69">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4230E807">
      <w:pPr>
        <w:pStyle w:val="4"/>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color w:val="auto"/>
          <w:sz w:val="24"/>
          <w:szCs w:val="24"/>
          <w:highlight w:val="none"/>
        </w:rPr>
      </w:pPr>
      <w:bookmarkStart w:id="224" w:name="_Toc16638"/>
      <w:bookmarkStart w:id="225" w:name="_Toc30894"/>
      <w:bookmarkStart w:id="226" w:name="_Toc333"/>
      <w:bookmarkStart w:id="227" w:name="_Toc4019"/>
      <w:bookmarkStart w:id="228" w:name="_Toc23222"/>
      <w:r>
        <w:rPr>
          <w:color w:val="auto"/>
          <w:spacing w:val="8"/>
          <w:sz w:val="24"/>
          <w:szCs w:val="24"/>
          <w:highlight w:val="none"/>
        </w:rPr>
        <w:t>最后</w:t>
      </w:r>
      <w:r>
        <w:rPr>
          <w:rFonts w:hint="eastAsia"/>
          <w:color w:val="auto"/>
          <w:spacing w:val="8"/>
          <w:sz w:val="24"/>
          <w:szCs w:val="24"/>
          <w:highlight w:val="none"/>
          <w:lang w:eastAsia="zh-CN"/>
        </w:rPr>
        <w:t>响应</w:t>
      </w:r>
      <w:bookmarkEnd w:id="224"/>
      <w:bookmarkEnd w:id="225"/>
      <w:bookmarkEnd w:id="226"/>
      <w:bookmarkEnd w:id="227"/>
      <w:bookmarkEnd w:id="228"/>
    </w:p>
    <w:p w14:paraId="55B0A4C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磋商结束后，磋商小组应当要求所有实质性响应的供应商在规定时间内提交最后</w:t>
      </w:r>
      <w:r>
        <w:rPr>
          <w:rFonts w:hint="eastAsia"/>
          <w:color w:val="auto"/>
          <w:sz w:val="24"/>
          <w:szCs w:val="24"/>
          <w:highlight w:val="none"/>
          <w:lang w:eastAsia="zh-CN"/>
        </w:rPr>
        <w:t>响应</w:t>
      </w:r>
      <w:r>
        <w:rPr>
          <w:color w:val="auto"/>
          <w:sz w:val="24"/>
          <w:szCs w:val="24"/>
          <w:highlight w:val="none"/>
        </w:rPr>
        <w:t>。最后</w:t>
      </w:r>
      <w:r>
        <w:rPr>
          <w:rFonts w:hint="eastAsia"/>
          <w:color w:val="auto"/>
          <w:sz w:val="24"/>
          <w:szCs w:val="24"/>
          <w:highlight w:val="none"/>
          <w:lang w:eastAsia="zh-CN"/>
        </w:rPr>
        <w:t>响应</w:t>
      </w:r>
      <w:r>
        <w:rPr>
          <w:color w:val="auto"/>
          <w:sz w:val="24"/>
          <w:szCs w:val="24"/>
          <w:highlight w:val="none"/>
        </w:rPr>
        <w:t>是供应商响应文件的有效组成部分。</w:t>
      </w:r>
    </w:p>
    <w:p w14:paraId="376FC12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已提交响应文件的供应商，在提交最后</w:t>
      </w:r>
      <w:r>
        <w:rPr>
          <w:rFonts w:hint="eastAsia"/>
          <w:color w:val="auto"/>
          <w:sz w:val="24"/>
          <w:szCs w:val="24"/>
          <w:highlight w:val="none"/>
          <w:lang w:eastAsia="zh-CN"/>
        </w:rPr>
        <w:t>响应</w:t>
      </w:r>
      <w:r>
        <w:rPr>
          <w:color w:val="auto"/>
          <w:sz w:val="24"/>
          <w:szCs w:val="24"/>
          <w:highlight w:val="none"/>
        </w:rPr>
        <w:t>之前，可以根据磋商情况退出磋商。未在最终轮次规定时间内进行响应的，视为不再参与该政府采购活动。</w:t>
      </w:r>
    </w:p>
    <w:p w14:paraId="619085E9">
      <w:pPr>
        <w:pStyle w:val="4"/>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22" w:firstLineChars="200"/>
        <w:jc w:val="left"/>
        <w:textAlignment w:val="auto"/>
        <w:rPr>
          <w:color w:val="auto"/>
          <w:sz w:val="24"/>
          <w:szCs w:val="24"/>
          <w:highlight w:val="none"/>
        </w:rPr>
      </w:pPr>
      <w:bookmarkStart w:id="229" w:name="_Toc6520"/>
      <w:bookmarkStart w:id="230" w:name="_Toc1320"/>
      <w:bookmarkStart w:id="231" w:name="_Toc30960"/>
      <w:bookmarkStart w:id="232" w:name="_Toc25452"/>
      <w:bookmarkStart w:id="233" w:name="_Toc9827"/>
      <w:r>
        <w:rPr>
          <w:color w:val="auto"/>
          <w:spacing w:val="10"/>
          <w:sz w:val="24"/>
          <w:szCs w:val="24"/>
          <w:highlight w:val="none"/>
        </w:rPr>
        <w:t>政府采购政策功能落实</w:t>
      </w:r>
      <w:bookmarkEnd w:id="229"/>
      <w:bookmarkEnd w:id="230"/>
      <w:bookmarkEnd w:id="231"/>
      <w:bookmarkEnd w:id="232"/>
      <w:bookmarkEnd w:id="233"/>
    </w:p>
    <w:p w14:paraId="279BCBC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依据《政府采购促进中小企业发展管理办法》等规定，对符合条件的小微企业、监狱企业或残疾人福利性单位给予价格扣除。</w:t>
      </w:r>
    </w:p>
    <w:p w14:paraId="6EEB5AA6">
      <w:pPr>
        <w:pStyle w:val="4"/>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color w:val="auto"/>
          <w:sz w:val="24"/>
          <w:szCs w:val="24"/>
          <w:highlight w:val="none"/>
        </w:rPr>
      </w:pPr>
      <w:bookmarkStart w:id="234" w:name="_Toc12985"/>
      <w:bookmarkStart w:id="235" w:name="_Toc12833"/>
      <w:bookmarkStart w:id="236" w:name="_Toc10364"/>
      <w:bookmarkStart w:id="237" w:name="_Toc14850"/>
      <w:bookmarkStart w:id="238" w:name="_Toc710"/>
      <w:r>
        <w:rPr>
          <w:color w:val="auto"/>
          <w:spacing w:val="8"/>
          <w:sz w:val="24"/>
          <w:szCs w:val="24"/>
          <w:highlight w:val="none"/>
        </w:rPr>
        <w:t>综合评分</w:t>
      </w:r>
      <w:bookmarkEnd w:id="234"/>
      <w:bookmarkEnd w:id="235"/>
      <w:bookmarkEnd w:id="236"/>
      <w:bookmarkEnd w:id="237"/>
      <w:bookmarkEnd w:id="238"/>
    </w:p>
    <w:p w14:paraId="5011570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由磋商小组采用综合评分法对提交最后</w:t>
      </w:r>
      <w:r>
        <w:rPr>
          <w:rFonts w:hint="eastAsia"/>
          <w:color w:val="auto"/>
          <w:sz w:val="24"/>
          <w:szCs w:val="24"/>
          <w:highlight w:val="none"/>
          <w:lang w:eastAsia="zh-CN"/>
        </w:rPr>
        <w:t>响应</w:t>
      </w:r>
      <w:r>
        <w:rPr>
          <w:color w:val="auto"/>
          <w:sz w:val="24"/>
          <w:szCs w:val="24"/>
          <w:highlight w:val="none"/>
        </w:rPr>
        <w:t>的供应商的响应文件和最后</w:t>
      </w:r>
      <w:r>
        <w:rPr>
          <w:rFonts w:hint="eastAsia"/>
          <w:color w:val="auto"/>
          <w:sz w:val="24"/>
          <w:szCs w:val="24"/>
          <w:highlight w:val="none"/>
          <w:lang w:eastAsia="zh-CN"/>
        </w:rPr>
        <w:t>响应</w:t>
      </w:r>
      <w:r>
        <w:rPr>
          <w:color w:val="auto"/>
          <w:sz w:val="24"/>
          <w:szCs w:val="24"/>
          <w:highlight w:val="none"/>
        </w:rPr>
        <w:t>进行综合评分（得分四舍五入保留两位小数）。</w:t>
      </w:r>
    </w:p>
    <w:p w14:paraId="04AE362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left"/>
        <w:textAlignment w:val="auto"/>
        <w:rPr>
          <w:rFonts w:hint="eastAsia"/>
          <w:color w:val="auto"/>
          <w:sz w:val="24"/>
          <w:szCs w:val="24"/>
          <w:highlight w:val="none"/>
          <w:lang w:eastAsia="zh-CN"/>
        </w:rPr>
      </w:pPr>
      <w:r>
        <w:rPr>
          <w:rFonts w:hint="eastAsia"/>
          <w:color w:val="auto"/>
          <w:sz w:val="24"/>
          <w:szCs w:val="24"/>
          <w:highlight w:val="none"/>
          <w:lang w:eastAsia="zh-CN"/>
        </w:rPr>
        <w:t>2022年-2024年巡游出租车运营成本、浮桥通行成本监审（调查）项目</w:t>
      </w:r>
    </w:p>
    <w:tbl>
      <w:tblPr>
        <w:tblStyle w:val="26"/>
        <w:tblW w:w="100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36"/>
        <w:gridCol w:w="1121"/>
        <w:gridCol w:w="7658"/>
      </w:tblGrid>
      <w:tr w14:paraId="3E9A0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1236" w:type="dxa"/>
            <w:vAlign w:val="top"/>
          </w:tcPr>
          <w:p w14:paraId="6EAC4C91">
            <w:pPr>
              <w:pStyle w:val="33"/>
              <w:spacing w:before="86" w:line="219" w:lineRule="auto"/>
              <w:ind w:left="14"/>
              <w:rPr>
                <w:rFonts w:hint="eastAsia" w:eastAsia="宋体"/>
                <w:sz w:val="24"/>
                <w:szCs w:val="24"/>
                <w:lang w:val="en-US" w:eastAsia="zh-CN"/>
              </w:rPr>
            </w:pPr>
            <w:r>
              <w:rPr>
                <w:spacing w:val="-2"/>
                <w:sz w:val="24"/>
                <w:szCs w:val="24"/>
              </w:rPr>
              <w:t>评审</w:t>
            </w:r>
            <w:r>
              <w:rPr>
                <w:rFonts w:hint="eastAsia"/>
                <w:spacing w:val="-2"/>
                <w:sz w:val="24"/>
                <w:szCs w:val="24"/>
                <w:lang w:val="en-US" w:eastAsia="zh-CN"/>
              </w:rPr>
              <w:t>因素</w:t>
            </w:r>
          </w:p>
        </w:tc>
        <w:tc>
          <w:tcPr>
            <w:tcW w:w="8779" w:type="dxa"/>
            <w:gridSpan w:val="2"/>
            <w:vAlign w:val="top"/>
          </w:tcPr>
          <w:p w14:paraId="7042F91C">
            <w:pPr>
              <w:pStyle w:val="33"/>
              <w:spacing w:before="86" w:line="220" w:lineRule="auto"/>
              <w:ind w:left="10"/>
              <w:rPr>
                <w:sz w:val="24"/>
                <w:szCs w:val="24"/>
              </w:rPr>
            </w:pPr>
            <w:r>
              <w:rPr>
                <w:spacing w:val="3"/>
                <w:sz w:val="24"/>
                <w:szCs w:val="24"/>
              </w:rPr>
              <w:t>评审标准</w:t>
            </w:r>
          </w:p>
        </w:tc>
      </w:tr>
      <w:tr w14:paraId="12F6E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jc w:val="center"/>
        </w:trPr>
        <w:tc>
          <w:tcPr>
            <w:tcW w:w="1236" w:type="dxa"/>
            <w:vAlign w:val="top"/>
          </w:tcPr>
          <w:p w14:paraId="7DD989EC">
            <w:pPr>
              <w:spacing w:line="302" w:lineRule="auto"/>
              <w:rPr>
                <w:rFonts w:ascii="Arial"/>
                <w:sz w:val="24"/>
                <w:szCs w:val="24"/>
              </w:rPr>
            </w:pPr>
          </w:p>
          <w:p w14:paraId="3D9BFF6D">
            <w:pPr>
              <w:pStyle w:val="33"/>
              <w:spacing w:before="88" w:line="219" w:lineRule="auto"/>
              <w:ind w:left="14"/>
              <w:rPr>
                <w:sz w:val="24"/>
                <w:szCs w:val="24"/>
              </w:rPr>
            </w:pPr>
            <w:r>
              <w:rPr>
                <w:spacing w:val="3"/>
                <w:sz w:val="24"/>
                <w:szCs w:val="24"/>
              </w:rPr>
              <w:t>分值构成</w:t>
            </w:r>
          </w:p>
        </w:tc>
        <w:tc>
          <w:tcPr>
            <w:tcW w:w="8779" w:type="dxa"/>
            <w:gridSpan w:val="2"/>
            <w:vAlign w:val="top"/>
          </w:tcPr>
          <w:p w14:paraId="3670A5FA">
            <w:pPr>
              <w:pStyle w:val="33"/>
              <w:spacing w:before="32" w:line="219" w:lineRule="auto"/>
              <w:ind w:left="10"/>
              <w:rPr>
                <w:sz w:val="24"/>
                <w:szCs w:val="24"/>
              </w:rPr>
            </w:pPr>
            <w:r>
              <w:rPr>
                <w:spacing w:val="1"/>
                <w:sz w:val="24"/>
                <w:szCs w:val="24"/>
              </w:rPr>
              <w:t>技术部分：</w:t>
            </w:r>
            <w:r>
              <w:rPr>
                <w:rFonts w:hint="eastAsia"/>
                <w:spacing w:val="1"/>
                <w:sz w:val="24"/>
                <w:szCs w:val="24"/>
                <w:lang w:val="en-US" w:eastAsia="zh-CN"/>
              </w:rPr>
              <w:t>75</w:t>
            </w:r>
            <w:r>
              <w:rPr>
                <w:spacing w:val="1"/>
                <w:sz w:val="24"/>
                <w:szCs w:val="24"/>
              </w:rPr>
              <w:t>分</w:t>
            </w:r>
          </w:p>
          <w:p w14:paraId="4B2EE639">
            <w:pPr>
              <w:pStyle w:val="33"/>
              <w:spacing w:before="19" w:line="219" w:lineRule="auto"/>
              <w:ind w:left="10"/>
              <w:rPr>
                <w:sz w:val="24"/>
                <w:szCs w:val="24"/>
              </w:rPr>
            </w:pPr>
            <w:r>
              <w:rPr>
                <w:spacing w:val="1"/>
                <w:sz w:val="24"/>
                <w:szCs w:val="24"/>
              </w:rPr>
              <w:t>商务部分：1</w:t>
            </w:r>
            <w:r>
              <w:rPr>
                <w:rFonts w:hint="eastAsia"/>
                <w:spacing w:val="1"/>
                <w:sz w:val="24"/>
                <w:szCs w:val="24"/>
                <w:lang w:val="en-US" w:eastAsia="zh-CN"/>
              </w:rPr>
              <w:t>5</w:t>
            </w:r>
            <w:r>
              <w:rPr>
                <w:spacing w:val="1"/>
                <w:sz w:val="24"/>
                <w:szCs w:val="24"/>
              </w:rPr>
              <w:t>分</w:t>
            </w:r>
          </w:p>
          <w:p w14:paraId="0BF894F6">
            <w:pPr>
              <w:pStyle w:val="33"/>
              <w:spacing w:before="27" w:line="211" w:lineRule="auto"/>
              <w:ind w:left="10"/>
              <w:rPr>
                <w:sz w:val="24"/>
                <w:szCs w:val="24"/>
              </w:rPr>
            </w:pPr>
            <w:r>
              <w:rPr>
                <w:spacing w:val="1"/>
                <w:sz w:val="24"/>
                <w:szCs w:val="24"/>
              </w:rPr>
              <w:t>报价得分：10分</w:t>
            </w:r>
          </w:p>
        </w:tc>
      </w:tr>
      <w:tr w14:paraId="606009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9" w:hRule="atLeast"/>
          <w:jc w:val="center"/>
        </w:trPr>
        <w:tc>
          <w:tcPr>
            <w:tcW w:w="1236" w:type="dxa"/>
            <w:vMerge w:val="restart"/>
            <w:tcBorders>
              <w:bottom w:val="nil"/>
            </w:tcBorders>
            <w:vAlign w:val="center"/>
          </w:tcPr>
          <w:p w14:paraId="36385011">
            <w:pPr>
              <w:spacing w:line="245" w:lineRule="auto"/>
              <w:jc w:val="center"/>
              <w:rPr>
                <w:rFonts w:ascii="Arial"/>
                <w:sz w:val="24"/>
                <w:szCs w:val="24"/>
              </w:rPr>
            </w:pPr>
          </w:p>
          <w:p w14:paraId="6D81B87B">
            <w:pPr>
              <w:spacing w:line="246" w:lineRule="auto"/>
              <w:jc w:val="center"/>
              <w:rPr>
                <w:rFonts w:ascii="Arial"/>
                <w:sz w:val="24"/>
                <w:szCs w:val="24"/>
              </w:rPr>
            </w:pPr>
          </w:p>
          <w:p w14:paraId="66C96048">
            <w:pPr>
              <w:pStyle w:val="33"/>
              <w:spacing w:before="88" w:line="249" w:lineRule="auto"/>
              <w:ind w:left="314" w:right="107" w:hanging="230"/>
              <w:jc w:val="center"/>
              <w:rPr>
                <w:spacing w:val="2"/>
                <w:sz w:val="24"/>
                <w:szCs w:val="24"/>
              </w:rPr>
            </w:pPr>
            <w:r>
              <w:rPr>
                <w:spacing w:val="2"/>
                <w:sz w:val="24"/>
                <w:szCs w:val="24"/>
              </w:rPr>
              <w:t>技术</w:t>
            </w:r>
          </w:p>
          <w:p w14:paraId="4B2C4218">
            <w:pPr>
              <w:pStyle w:val="33"/>
              <w:spacing w:before="88" w:line="249" w:lineRule="auto"/>
              <w:ind w:left="314" w:right="107" w:hanging="230"/>
              <w:jc w:val="center"/>
              <w:rPr>
                <w:spacing w:val="2"/>
                <w:sz w:val="24"/>
                <w:szCs w:val="24"/>
              </w:rPr>
            </w:pPr>
            <w:r>
              <w:rPr>
                <w:spacing w:val="2"/>
                <w:sz w:val="24"/>
                <w:szCs w:val="24"/>
              </w:rPr>
              <w:t>部分</w:t>
            </w:r>
          </w:p>
          <w:p w14:paraId="5E10DD79">
            <w:pPr>
              <w:pStyle w:val="33"/>
              <w:spacing w:before="88" w:line="249" w:lineRule="auto"/>
              <w:ind w:left="314" w:right="107" w:hanging="230"/>
              <w:jc w:val="center"/>
              <w:rPr>
                <w:rFonts w:hint="eastAsia" w:eastAsia="宋体"/>
                <w:sz w:val="24"/>
                <w:szCs w:val="24"/>
                <w:lang w:eastAsia="zh-CN"/>
              </w:rPr>
            </w:pPr>
            <w:r>
              <w:rPr>
                <w:rFonts w:hint="eastAsia"/>
                <w:spacing w:val="3"/>
                <w:sz w:val="24"/>
                <w:szCs w:val="24"/>
                <w:lang w:val="en-US" w:eastAsia="zh-CN"/>
              </w:rPr>
              <w:t>（75</w:t>
            </w:r>
            <w:r>
              <w:rPr>
                <w:spacing w:val="3"/>
                <w:sz w:val="24"/>
                <w:szCs w:val="24"/>
              </w:rPr>
              <w:t>分</w:t>
            </w:r>
            <w:r>
              <w:rPr>
                <w:rFonts w:hint="eastAsia"/>
                <w:spacing w:val="3"/>
                <w:sz w:val="24"/>
                <w:szCs w:val="24"/>
                <w:lang w:eastAsia="zh-CN"/>
              </w:rPr>
              <w:t>）</w:t>
            </w:r>
          </w:p>
        </w:tc>
        <w:tc>
          <w:tcPr>
            <w:tcW w:w="1121" w:type="dxa"/>
            <w:vAlign w:val="center"/>
          </w:tcPr>
          <w:p w14:paraId="62D43654">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cs="宋体"/>
                <w:spacing w:val="-3"/>
                <w:sz w:val="24"/>
                <w:szCs w:val="24"/>
                <w:highlight w:val="none"/>
                <w:lang w:val="en-US" w:eastAsia="zh-CN" w:bidi="ar-SA"/>
              </w:rPr>
            </w:pPr>
            <w:r>
              <w:rPr>
                <w:rFonts w:hint="eastAsia" w:cs="宋体"/>
                <w:spacing w:val="-3"/>
                <w:sz w:val="24"/>
                <w:szCs w:val="24"/>
                <w:highlight w:val="none"/>
                <w:lang w:val="en-US" w:eastAsia="zh-CN" w:bidi="ar-SA"/>
              </w:rPr>
              <w:t>服务方案</w:t>
            </w:r>
          </w:p>
          <w:p w14:paraId="1845957C">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highlight w:val="none"/>
                <w:lang w:val="en-US" w:eastAsia="zh-CN" w:bidi="ar-SA"/>
              </w:rPr>
            </w:pPr>
            <w:r>
              <w:rPr>
                <w:rFonts w:hint="eastAsia" w:cs="宋体"/>
                <w:spacing w:val="-3"/>
                <w:sz w:val="24"/>
                <w:szCs w:val="24"/>
                <w:highlight w:val="none"/>
                <w:lang w:val="en-US" w:eastAsia="zh-CN" w:bidi="ar-SA"/>
              </w:rPr>
              <w:t>（36分）</w:t>
            </w:r>
          </w:p>
        </w:tc>
        <w:tc>
          <w:tcPr>
            <w:tcW w:w="7658" w:type="dxa"/>
            <w:vAlign w:val="top"/>
          </w:tcPr>
          <w:p w14:paraId="15A0703E">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cs="宋体"/>
                <w:sz w:val="24"/>
                <w:szCs w:val="24"/>
                <w:highlight w:val="none"/>
                <w:lang w:eastAsia="zh-CN"/>
              </w:rPr>
            </w:pPr>
            <w:r>
              <w:rPr>
                <w:rFonts w:hint="eastAsia" w:ascii="宋体" w:hAnsi="宋体" w:eastAsia="宋体" w:cs="宋体"/>
                <w:spacing w:val="-3"/>
                <w:sz w:val="24"/>
                <w:szCs w:val="24"/>
                <w:highlight w:val="none"/>
                <w:lang w:val="en-US" w:eastAsia="en-US" w:bidi="ar-SA"/>
              </w:rPr>
              <w:t>针对本项目提供具体服务方案</w:t>
            </w:r>
            <w:r>
              <w:rPr>
                <w:rFonts w:hint="eastAsia" w:ascii="宋体" w:hAnsi="宋体" w:eastAsia="宋体" w:cs="宋体"/>
                <w:spacing w:val="-3"/>
                <w:sz w:val="24"/>
                <w:szCs w:val="24"/>
                <w:highlight w:val="none"/>
                <w:lang w:val="en-US" w:eastAsia="zh-CN" w:bidi="ar-SA"/>
              </w:rPr>
              <w:t>：</w:t>
            </w:r>
            <w:r>
              <w:rPr>
                <w:rFonts w:hint="eastAsia" w:ascii="宋体" w:hAnsi="宋体" w:eastAsia="宋体" w:cs="宋体"/>
                <w:spacing w:val="-3"/>
                <w:sz w:val="24"/>
                <w:szCs w:val="24"/>
                <w:highlight w:val="none"/>
                <w:lang w:val="en-US" w:eastAsia="en-US" w:bidi="ar-SA"/>
              </w:rPr>
              <w:t>包含但不限于</w:t>
            </w:r>
            <w:r>
              <w:rPr>
                <w:rFonts w:hint="eastAsia" w:cs="宋体"/>
                <w:sz w:val="24"/>
                <w:szCs w:val="24"/>
                <w:highlight w:val="none"/>
                <w:lang w:eastAsia="zh-CN"/>
              </w:rPr>
              <w:t>：</w:t>
            </w:r>
            <w:r>
              <w:rPr>
                <w:rFonts w:hint="eastAsia" w:cs="宋体"/>
                <w:sz w:val="24"/>
                <w:szCs w:val="24"/>
                <w:highlight w:val="none"/>
                <w:lang w:val="en-US" w:eastAsia="zh-CN"/>
              </w:rPr>
              <w:t>①</w:t>
            </w:r>
            <w:r>
              <w:rPr>
                <w:rFonts w:ascii="宋体" w:hAnsi="宋体" w:eastAsia="宋体" w:cs="宋体"/>
                <w:sz w:val="24"/>
                <w:szCs w:val="24"/>
                <w:highlight w:val="none"/>
              </w:rPr>
              <w:t>服务思路</w:t>
            </w:r>
            <w:r>
              <w:rPr>
                <w:rFonts w:hint="eastAsia" w:cs="宋体"/>
                <w:sz w:val="24"/>
                <w:szCs w:val="24"/>
                <w:highlight w:val="none"/>
                <w:lang w:eastAsia="zh-CN"/>
              </w:rPr>
              <w:t>；</w:t>
            </w:r>
            <w:r>
              <w:rPr>
                <w:rFonts w:hint="eastAsia" w:cs="宋体"/>
                <w:sz w:val="24"/>
                <w:szCs w:val="24"/>
                <w:highlight w:val="none"/>
                <w:lang w:val="en-US" w:eastAsia="zh-CN"/>
              </w:rPr>
              <w:t>②服务</w:t>
            </w:r>
            <w:r>
              <w:rPr>
                <w:rFonts w:ascii="宋体" w:hAnsi="宋体" w:eastAsia="宋体" w:cs="宋体"/>
                <w:sz w:val="24"/>
                <w:szCs w:val="24"/>
                <w:highlight w:val="none"/>
              </w:rPr>
              <w:t>范围</w:t>
            </w:r>
            <w:r>
              <w:rPr>
                <w:rFonts w:hint="eastAsia" w:cs="宋体"/>
                <w:sz w:val="24"/>
                <w:szCs w:val="24"/>
                <w:highlight w:val="none"/>
                <w:lang w:eastAsia="zh-CN"/>
              </w:rPr>
              <w:t>；</w:t>
            </w:r>
            <w:r>
              <w:rPr>
                <w:rFonts w:hint="eastAsia" w:cs="宋体"/>
                <w:sz w:val="24"/>
                <w:szCs w:val="24"/>
                <w:highlight w:val="none"/>
                <w:lang w:val="en-US" w:eastAsia="zh-CN"/>
              </w:rPr>
              <w:t>③服务</w:t>
            </w:r>
            <w:r>
              <w:rPr>
                <w:rFonts w:ascii="宋体" w:hAnsi="宋体" w:eastAsia="宋体" w:cs="宋体"/>
                <w:sz w:val="24"/>
                <w:szCs w:val="24"/>
                <w:highlight w:val="none"/>
              </w:rPr>
              <w:t>目标</w:t>
            </w:r>
            <w:r>
              <w:rPr>
                <w:rFonts w:hint="eastAsia" w:cs="宋体"/>
                <w:sz w:val="24"/>
                <w:szCs w:val="24"/>
                <w:highlight w:val="none"/>
                <w:lang w:eastAsia="zh-CN"/>
              </w:rPr>
              <w:t>；</w:t>
            </w:r>
            <w:r>
              <w:rPr>
                <w:rFonts w:hint="eastAsia" w:cs="宋体"/>
                <w:sz w:val="24"/>
                <w:szCs w:val="24"/>
                <w:highlight w:val="none"/>
                <w:lang w:val="en-US" w:eastAsia="zh-CN"/>
              </w:rPr>
              <w:t>④</w:t>
            </w:r>
            <w:r>
              <w:rPr>
                <w:rFonts w:ascii="宋体" w:hAnsi="宋体" w:eastAsia="宋体" w:cs="宋体"/>
                <w:sz w:val="24"/>
                <w:szCs w:val="24"/>
                <w:highlight w:val="none"/>
              </w:rPr>
              <w:t>项目服务的理解</w:t>
            </w:r>
            <w:r>
              <w:rPr>
                <w:rFonts w:hint="eastAsia" w:cs="宋体"/>
                <w:sz w:val="24"/>
                <w:szCs w:val="24"/>
                <w:highlight w:val="none"/>
                <w:lang w:eastAsia="zh-CN"/>
              </w:rPr>
              <w:t>；</w:t>
            </w:r>
            <w:r>
              <w:rPr>
                <w:rFonts w:hint="eastAsia" w:cs="宋体"/>
                <w:sz w:val="24"/>
                <w:szCs w:val="24"/>
                <w:highlight w:val="none"/>
                <w:lang w:val="en-US" w:eastAsia="zh-CN"/>
              </w:rPr>
              <w:t>⑤</w:t>
            </w:r>
            <w:r>
              <w:rPr>
                <w:rFonts w:ascii="宋体" w:hAnsi="宋体" w:eastAsia="宋体" w:cs="宋体"/>
                <w:sz w:val="24"/>
                <w:szCs w:val="24"/>
                <w:highlight w:val="none"/>
              </w:rPr>
              <w:t>项目服务的分析</w:t>
            </w:r>
            <w:r>
              <w:rPr>
                <w:rFonts w:hint="eastAsia" w:cs="宋体"/>
                <w:sz w:val="24"/>
                <w:szCs w:val="24"/>
                <w:highlight w:val="none"/>
                <w:lang w:eastAsia="zh-CN"/>
              </w:rPr>
              <w:t>；</w:t>
            </w:r>
            <w:r>
              <w:rPr>
                <w:rFonts w:hint="eastAsia" w:cs="宋体"/>
                <w:sz w:val="24"/>
                <w:szCs w:val="24"/>
                <w:highlight w:val="none"/>
                <w:lang w:val="en-US" w:eastAsia="zh-CN"/>
              </w:rPr>
              <w:t>⑥项目服务</w:t>
            </w:r>
            <w:r>
              <w:rPr>
                <w:rFonts w:ascii="宋体" w:hAnsi="宋体" w:eastAsia="宋体" w:cs="宋体"/>
                <w:sz w:val="24"/>
                <w:szCs w:val="24"/>
                <w:highlight w:val="none"/>
              </w:rPr>
              <w:t>总体设计</w:t>
            </w:r>
            <w:r>
              <w:rPr>
                <w:rFonts w:hint="eastAsia" w:cs="宋体"/>
                <w:sz w:val="24"/>
                <w:szCs w:val="24"/>
                <w:highlight w:val="none"/>
                <w:lang w:eastAsia="zh-CN"/>
              </w:rPr>
              <w:t>；</w:t>
            </w:r>
            <w:r>
              <w:rPr>
                <w:rFonts w:hint="eastAsia" w:cs="宋体"/>
                <w:sz w:val="24"/>
                <w:szCs w:val="24"/>
                <w:highlight w:val="none"/>
                <w:lang w:val="en-US" w:eastAsia="zh-CN"/>
              </w:rPr>
              <w:t>⑦</w:t>
            </w:r>
            <w:r>
              <w:rPr>
                <w:rFonts w:ascii="宋体" w:hAnsi="宋体" w:eastAsia="宋体" w:cs="宋体"/>
                <w:sz w:val="24"/>
                <w:szCs w:val="24"/>
                <w:highlight w:val="none"/>
              </w:rPr>
              <w:t>服务响应能力</w:t>
            </w:r>
            <w:r>
              <w:rPr>
                <w:rFonts w:hint="eastAsia" w:cs="宋体"/>
                <w:sz w:val="24"/>
                <w:szCs w:val="24"/>
                <w:highlight w:val="none"/>
                <w:lang w:eastAsia="zh-CN"/>
              </w:rPr>
              <w:t>；</w:t>
            </w:r>
            <w:r>
              <w:rPr>
                <w:rFonts w:hint="eastAsia" w:cs="宋体"/>
                <w:sz w:val="24"/>
                <w:szCs w:val="24"/>
                <w:highlight w:val="none"/>
                <w:lang w:val="en-US" w:eastAsia="zh-CN"/>
              </w:rPr>
              <w:t>⑧服务</w:t>
            </w:r>
            <w:r>
              <w:rPr>
                <w:rFonts w:ascii="宋体" w:hAnsi="宋体" w:eastAsia="宋体" w:cs="宋体"/>
                <w:sz w:val="24"/>
                <w:szCs w:val="24"/>
                <w:highlight w:val="none"/>
              </w:rPr>
              <w:t>措施人员分工</w:t>
            </w:r>
            <w:r>
              <w:rPr>
                <w:rFonts w:hint="eastAsia" w:cs="宋体"/>
                <w:sz w:val="24"/>
                <w:szCs w:val="24"/>
                <w:highlight w:val="none"/>
                <w:lang w:eastAsia="zh-CN"/>
              </w:rPr>
              <w:t>；</w:t>
            </w:r>
            <w:r>
              <w:rPr>
                <w:rFonts w:hint="eastAsia" w:cs="宋体"/>
                <w:sz w:val="24"/>
                <w:szCs w:val="24"/>
                <w:highlight w:val="none"/>
                <w:lang w:val="en-US" w:eastAsia="zh-CN"/>
              </w:rPr>
              <w:t>⑨</w:t>
            </w:r>
            <w:r>
              <w:rPr>
                <w:rFonts w:ascii="宋体" w:hAnsi="宋体" w:eastAsia="宋体" w:cs="宋体"/>
                <w:sz w:val="24"/>
                <w:szCs w:val="24"/>
                <w:highlight w:val="none"/>
              </w:rPr>
              <w:t>风险规避等</w:t>
            </w:r>
            <w:r>
              <w:rPr>
                <w:rFonts w:hint="eastAsia" w:cs="宋体"/>
                <w:sz w:val="24"/>
                <w:szCs w:val="24"/>
                <w:highlight w:val="none"/>
                <w:lang w:eastAsia="zh-CN"/>
              </w:rPr>
              <w:t>。</w:t>
            </w:r>
          </w:p>
          <w:p w14:paraId="6122C43C">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highlight w:val="none"/>
                <w:lang w:val="en-US" w:eastAsia="en-US" w:bidi="ar-SA"/>
              </w:rPr>
            </w:pPr>
            <w:r>
              <w:rPr>
                <w:rFonts w:hint="eastAsia" w:ascii="宋体" w:hAnsi="宋体" w:eastAsia="宋体" w:cs="宋体"/>
                <w:spacing w:val="-3"/>
                <w:sz w:val="24"/>
                <w:szCs w:val="24"/>
                <w:highlight w:val="none"/>
                <w:lang w:val="en-US" w:eastAsia="en-US" w:bidi="ar-SA"/>
              </w:rPr>
              <w:t>1)以上</w:t>
            </w:r>
            <w:r>
              <w:rPr>
                <w:rFonts w:hint="eastAsia" w:cs="宋体"/>
                <w:spacing w:val="-3"/>
                <w:sz w:val="24"/>
                <w:szCs w:val="24"/>
                <w:highlight w:val="none"/>
                <w:lang w:val="en-US" w:eastAsia="zh-CN" w:bidi="ar-SA"/>
              </w:rPr>
              <w:t>9</w:t>
            </w:r>
            <w:r>
              <w:rPr>
                <w:rFonts w:hint="eastAsia" w:ascii="宋体" w:hAnsi="宋体" w:eastAsia="宋体" w:cs="宋体"/>
                <w:spacing w:val="-3"/>
                <w:sz w:val="24"/>
                <w:szCs w:val="24"/>
                <w:highlight w:val="none"/>
                <w:lang w:val="en-US" w:eastAsia="en-US" w:bidi="ar-SA"/>
              </w:rPr>
              <w:t>项每缺少一项要素扣</w:t>
            </w:r>
            <w:r>
              <w:rPr>
                <w:rFonts w:hint="eastAsia" w:cs="宋体"/>
                <w:spacing w:val="-3"/>
                <w:sz w:val="24"/>
                <w:szCs w:val="24"/>
                <w:highlight w:val="none"/>
                <w:lang w:val="en-US" w:eastAsia="zh-CN" w:bidi="ar-SA"/>
              </w:rPr>
              <w:t>4</w:t>
            </w:r>
            <w:r>
              <w:rPr>
                <w:rFonts w:hint="eastAsia" w:ascii="宋体" w:hAnsi="宋体" w:eastAsia="宋体" w:cs="宋体"/>
                <w:spacing w:val="-3"/>
                <w:sz w:val="24"/>
                <w:szCs w:val="24"/>
                <w:highlight w:val="none"/>
                <w:lang w:val="en-US" w:eastAsia="en-US" w:bidi="ar-SA"/>
              </w:rPr>
              <w:t>分，扣完为止；</w:t>
            </w:r>
          </w:p>
          <w:p w14:paraId="4B1C21DB">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highlight w:val="none"/>
                <w:lang w:val="en-US" w:eastAsia="en-US" w:bidi="ar-SA"/>
              </w:rPr>
            </w:pPr>
            <w:r>
              <w:rPr>
                <w:rFonts w:hint="eastAsia" w:ascii="宋体" w:hAnsi="宋体" w:eastAsia="宋体" w:cs="宋体"/>
                <w:spacing w:val="-3"/>
                <w:sz w:val="24"/>
                <w:szCs w:val="24"/>
                <w:highlight w:val="none"/>
                <w:lang w:val="en-US" w:eastAsia="en-US" w:bidi="ar-SA"/>
              </w:rPr>
              <w:t>2)每一小项要素中若有描述缺陷不符合项目实际要求的，每有一处扣</w:t>
            </w:r>
            <w:r>
              <w:rPr>
                <w:rFonts w:hint="eastAsia" w:ascii="宋体" w:hAnsi="宋体" w:eastAsia="宋体" w:cs="宋体"/>
                <w:spacing w:val="-3"/>
                <w:sz w:val="24"/>
                <w:szCs w:val="24"/>
                <w:highlight w:val="none"/>
                <w:lang w:val="en-US" w:eastAsia="zh-CN" w:bidi="ar-SA"/>
              </w:rPr>
              <w:t>1</w:t>
            </w:r>
            <w:r>
              <w:rPr>
                <w:rFonts w:hint="eastAsia" w:ascii="宋体" w:hAnsi="宋体" w:eastAsia="宋体" w:cs="宋体"/>
                <w:spacing w:val="-3"/>
                <w:sz w:val="24"/>
                <w:szCs w:val="24"/>
                <w:highlight w:val="none"/>
                <w:lang w:val="en-US" w:eastAsia="en-US" w:bidi="ar-SA"/>
              </w:rPr>
              <w:t>分，最多扣</w:t>
            </w:r>
            <w:r>
              <w:rPr>
                <w:rFonts w:hint="eastAsia" w:cs="宋体"/>
                <w:spacing w:val="-3"/>
                <w:sz w:val="24"/>
                <w:szCs w:val="24"/>
                <w:highlight w:val="none"/>
                <w:lang w:val="en-US" w:eastAsia="zh-CN" w:bidi="ar-SA"/>
              </w:rPr>
              <w:t>4</w:t>
            </w:r>
            <w:r>
              <w:rPr>
                <w:rFonts w:hint="eastAsia" w:ascii="宋体" w:hAnsi="宋体" w:eastAsia="宋体" w:cs="宋体"/>
                <w:spacing w:val="-3"/>
                <w:sz w:val="24"/>
                <w:szCs w:val="24"/>
                <w:highlight w:val="none"/>
                <w:lang w:val="en-US" w:eastAsia="en-US" w:bidi="ar-SA"/>
              </w:rPr>
              <w:t>分；</w:t>
            </w:r>
          </w:p>
          <w:p w14:paraId="6709FF3B">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highlight w:val="none"/>
                <w:lang w:val="en-US" w:eastAsia="en-US" w:bidi="ar-SA"/>
              </w:rPr>
            </w:pPr>
            <w:r>
              <w:rPr>
                <w:rFonts w:hint="eastAsia" w:ascii="宋体" w:hAnsi="宋体" w:eastAsia="宋体" w:cs="宋体"/>
                <w:spacing w:val="-3"/>
                <w:sz w:val="24"/>
                <w:szCs w:val="24"/>
                <w:highlight w:val="none"/>
                <w:lang w:val="en-US" w:eastAsia="en-US" w:bidi="ar-SA"/>
              </w:rPr>
              <w:t>3）全部满足以上</w:t>
            </w:r>
            <w:r>
              <w:rPr>
                <w:rFonts w:hint="eastAsia" w:cs="宋体"/>
                <w:spacing w:val="-3"/>
                <w:sz w:val="24"/>
                <w:szCs w:val="24"/>
                <w:highlight w:val="none"/>
                <w:lang w:val="en-US" w:eastAsia="zh-CN" w:bidi="ar-SA"/>
              </w:rPr>
              <w:t>9</w:t>
            </w:r>
            <w:r>
              <w:rPr>
                <w:rFonts w:hint="eastAsia" w:ascii="宋体" w:hAnsi="宋体" w:eastAsia="宋体" w:cs="宋体"/>
                <w:spacing w:val="-3"/>
                <w:sz w:val="24"/>
                <w:szCs w:val="24"/>
                <w:highlight w:val="none"/>
                <w:lang w:val="en-US" w:eastAsia="en-US" w:bidi="ar-SA"/>
              </w:rPr>
              <w:t>项要素要求并且描述无缺陷符合项目实际需求得</w:t>
            </w:r>
            <w:r>
              <w:rPr>
                <w:rFonts w:hint="eastAsia" w:cs="宋体"/>
                <w:spacing w:val="-3"/>
                <w:sz w:val="24"/>
                <w:szCs w:val="24"/>
                <w:highlight w:val="none"/>
                <w:lang w:val="en-US" w:eastAsia="zh-CN" w:bidi="ar-SA"/>
              </w:rPr>
              <w:t>36</w:t>
            </w:r>
            <w:r>
              <w:rPr>
                <w:rFonts w:hint="eastAsia" w:ascii="宋体" w:hAnsi="宋体" w:eastAsia="宋体" w:cs="宋体"/>
                <w:spacing w:val="-3"/>
                <w:sz w:val="24"/>
                <w:szCs w:val="24"/>
                <w:highlight w:val="none"/>
                <w:lang w:val="en-US" w:eastAsia="en-US" w:bidi="ar-SA"/>
              </w:rPr>
              <w:t xml:space="preserve">分。 </w:t>
            </w:r>
          </w:p>
          <w:p w14:paraId="28373CA8">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highlight w:val="none"/>
                <w:lang w:val="en-US" w:eastAsia="en-US" w:bidi="ar-SA"/>
              </w:rPr>
            </w:pPr>
            <w:r>
              <w:rPr>
                <w:rFonts w:hint="eastAsia" w:ascii="宋体" w:hAnsi="宋体" w:eastAsia="宋体" w:cs="宋体"/>
                <w:spacing w:val="-3"/>
                <w:sz w:val="24"/>
                <w:szCs w:val="24"/>
                <w:highlight w:val="none"/>
                <w:lang w:val="en-US" w:eastAsia="en-US" w:bidi="ar-SA"/>
              </w:rPr>
              <w:t>（缺陷是指：内容不完整或缺少关键点；非专门针对本项目或不适用本项目特性、套用其他项目内容；存在逻辑漏洞 、科学原理或常识错误；方案与业务需求不符，不利于本项目实施等任意一种情形）</w:t>
            </w:r>
          </w:p>
        </w:tc>
      </w:tr>
      <w:tr w14:paraId="7DDAD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1" w:hRule="atLeast"/>
          <w:jc w:val="center"/>
        </w:trPr>
        <w:tc>
          <w:tcPr>
            <w:tcW w:w="1236" w:type="dxa"/>
            <w:vMerge w:val="continue"/>
            <w:tcBorders>
              <w:top w:val="nil"/>
              <w:bottom w:val="nil"/>
            </w:tcBorders>
            <w:vAlign w:val="top"/>
          </w:tcPr>
          <w:p w14:paraId="1E9F96A7">
            <w:pPr>
              <w:rPr>
                <w:rFonts w:ascii="Arial"/>
                <w:sz w:val="24"/>
                <w:szCs w:val="24"/>
              </w:rPr>
            </w:pPr>
          </w:p>
        </w:tc>
        <w:tc>
          <w:tcPr>
            <w:tcW w:w="1121" w:type="dxa"/>
            <w:vAlign w:val="center"/>
          </w:tcPr>
          <w:p w14:paraId="4B8A136D">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lang w:val="en-US" w:eastAsia="zh-CN" w:bidi="ar-SA"/>
              </w:rPr>
            </w:pPr>
            <w:r>
              <w:rPr>
                <w:rFonts w:hint="eastAsia" w:ascii="宋体" w:hAnsi="宋体" w:eastAsia="宋体" w:cs="宋体"/>
                <w:spacing w:val="-3"/>
                <w:sz w:val="24"/>
                <w:szCs w:val="24"/>
                <w:lang w:val="en-US" w:eastAsia="zh-CN" w:bidi="ar-SA"/>
              </w:rPr>
              <w:t>管理体系及内部管理制度</w:t>
            </w:r>
            <w:r>
              <w:rPr>
                <w:rFonts w:hint="eastAsia" w:cs="宋体"/>
                <w:spacing w:val="-3"/>
                <w:sz w:val="24"/>
                <w:szCs w:val="24"/>
                <w:lang w:val="en-US" w:eastAsia="zh-CN" w:bidi="ar-SA"/>
              </w:rPr>
              <w:t>（15分）</w:t>
            </w:r>
          </w:p>
        </w:tc>
        <w:tc>
          <w:tcPr>
            <w:tcW w:w="7658" w:type="dxa"/>
            <w:vAlign w:val="top"/>
          </w:tcPr>
          <w:p w14:paraId="47448316">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zh-CN" w:bidi="ar-SA"/>
              </w:rPr>
            </w:pPr>
            <w:r>
              <w:rPr>
                <w:rFonts w:hint="eastAsia" w:ascii="宋体" w:hAnsi="宋体" w:eastAsia="宋体" w:cs="宋体"/>
                <w:spacing w:val="-3"/>
                <w:sz w:val="24"/>
                <w:szCs w:val="24"/>
                <w:lang w:val="en-US" w:eastAsia="en-US" w:bidi="ar-SA"/>
              </w:rPr>
              <w:t>针对本项目提供的管理体系及内部管理制度</w:t>
            </w:r>
            <w:r>
              <w:rPr>
                <w:rFonts w:hint="eastAsia" w:ascii="宋体" w:hAnsi="宋体" w:eastAsia="宋体" w:cs="宋体"/>
                <w:spacing w:val="-3"/>
                <w:sz w:val="24"/>
                <w:szCs w:val="24"/>
                <w:lang w:val="en-US" w:eastAsia="zh-CN" w:bidi="ar-SA"/>
              </w:rPr>
              <w:t>：</w:t>
            </w:r>
            <w:r>
              <w:rPr>
                <w:rFonts w:hint="eastAsia" w:ascii="宋体" w:hAnsi="宋体" w:eastAsia="宋体" w:cs="宋体"/>
                <w:spacing w:val="-3"/>
                <w:sz w:val="24"/>
                <w:szCs w:val="24"/>
                <w:lang w:val="en-US" w:eastAsia="en-US" w:bidi="ar-SA"/>
              </w:rPr>
              <w:t>包括但不限于</w:t>
            </w:r>
            <w:r>
              <w:rPr>
                <w:rFonts w:hint="eastAsia" w:ascii="宋体" w:hAnsi="宋体" w:eastAsia="宋体" w:cs="宋体"/>
                <w:spacing w:val="-3"/>
                <w:sz w:val="24"/>
                <w:szCs w:val="24"/>
                <w:lang w:val="en-US" w:eastAsia="zh-CN" w:bidi="ar-SA"/>
              </w:rPr>
              <w:t>①</w:t>
            </w:r>
            <w:r>
              <w:rPr>
                <w:rFonts w:hint="eastAsia" w:ascii="宋体" w:hAnsi="宋体" w:eastAsia="宋体" w:cs="宋体"/>
                <w:spacing w:val="-3"/>
                <w:sz w:val="24"/>
                <w:szCs w:val="24"/>
                <w:lang w:val="en-US" w:eastAsia="en-US" w:bidi="ar-SA"/>
              </w:rPr>
              <w:t>提供体系文件</w:t>
            </w:r>
            <w:r>
              <w:rPr>
                <w:rFonts w:hint="eastAsia" w:ascii="宋体" w:hAnsi="宋体" w:eastAsia="宋体" w:cs="宋体"/>
                <w:spacing w:val="-3"/>
                <w:sz w:val="24"/>
                <w:szCs w:val="24"/>
                <w:lang w:val="en-US" w:eastAsia="zh-CN" w:bidi="ar-SA"/>
              </w:rPr>
              <w:t>；②</w:t>
            </w:r>
            <w:r>
              <w:rPr>
                <w:rFonts w:hint="eastAsia" w:ascii="宋体" w:hAnsi="宋体" w:eastAsia="宋体" w:cs="宋体"/>
                <w:spacing w:val="-3"/>
                <w:sz w:val="24"/>
                <w:szCs w:val="24"/>
                <w:lang w:val="en-US" w:eastAsia="en-US" w:bidi="ar-SA"/>
              </w:rPr>
              <w:t>内务管理制度</w:t>
            </w:r>
            <w:r>
              <w:rPr>
                <w:rFonts w:hint="eastAsia" w:ascii="宋体" w:hAnsi="宋体" w:eastAsia="宋体" w:cs="宋体"/>
                <w:spacing w:val="-3"/>
                <w:sz w:val="24"/>
                <w:szCs w:val="24"/>
                <w:lang w:val="en-US" w:eastAsia="zh-CN" w:bidi="ar-SA"/>
              </w:rPr>
              <w:t>；③</w:t>
            </w:r>
            <w:r>
              <w:rPr>
                <w:rFonts w:hint="eastAsia" w:ascii="宋体" w:hAnsi="宋体" w:eastAsia="宋体" w:cs="宋体"/>
                <w:spacing w:val="-3"/>
                <w:sz w:val="24"/>
                <w:szCs w:val="24"/>
                <w:lang w:val="en-US" w:eastAsia="en-US" w:bidi="ar-SA"/>
              </w:rPr>
              <w:t>财务管理制度</w:t>
            </w:r>
            <w:r>
              <w:rPr>
                <w:rFonts w:hint="eastAsia" w:cs="宋体"/>
                <w:spacing w:val="-3"/>
                <w:sz w:val="24"/>
                <w:szCs w:val="24"/>
                <w:lang w:val="en-US" w:eastAsia="zh-CN" w:bidi="ar-SA"/>
              </w:rPr>
              <w:t>。</w:t>
            </w:r>
          </w:p>
          <w:p w14:paraId="392F93A2">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1)以上</w:t>
            </w:r>
            <w:r>
              <w:rPr>
                <w:rFonts w:hint="eastAsia" w:ascii="宋体" w:hAnsi="宋体" w:eastAsia="宋体" w:cs="宋体"/>
                <w:spacing w:val="-3"/>
                <w:sz w:val="24"/>
                <w:szCs w:val="24"/>
                <w:lang w:val="en-US" w:eastAsia="zh-CN" w:bidi="ar-SA"/>
              </w:rPr>
              <w:t>3</w:t>
            </w:r>
            <w:r>
              <w:rPr>
                <w:rFonts w:hint="eastAsia" w:ascii="宋体" w:hAnsi="宋体" w:eastAsia="宋体" w:cs="宋体"/>
                <w:spacing w:val="-3"/>
                <w:sz w:val="24"/>
                <w:szCs w:val="24"/>
                <w:lang w:val="en-US" w:eastAsia="en-US" w:bidi="ar-SA"/>
              </w:rPr>
              <w:t>项每缺少一项要素扣5分，扣完为止；</w:t>
            </w:r>
          </w:p>
          <w:p w14:paraId="4A1361B6">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2)每一小项要素中若有描述缺陷不符合项目实际要求的，每有一处扣1分，最多扣5分；</w:t>
            </w:r>
          </w:p>
          <w:p w14:paraId="66760680">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3）全部满足以上</w:t>
            </w:r>
            <w:r>
              <w:rPr>
                <w:rFonts w:hint="eastAsia" w:ascii="宋体" w:hAnsi="宋体" w:eastAsia="宋体" w:cs="宋体"/>
                <w:spacing w:val="-3"/>
                <w:sz w:val="24"/>
                <w:szCs w:val="24"/>
                <w:lang w:val="en-US" w:eastAsia="zh-CN" w:bidi="ar-SA"/>
              </w:rPr>
              <w:t>3</w:t>
            </w:r>
            <w:r>
              <w:rPr>
                <w:rFonts w:hint="eastAsia" w:ascii="宋体" w:hAnsi="宋体" w:eastAsia="宋体" w:cs="宋体"/>
                <w:spacing w:val="-3"/>
                <w:sz w:val="24"/>
                <w:szCs w:val="24"/>
                <w:lang w:val="en-US" w:eastAsia="en-US" w:bidi="ar-SA"/>
              </w:rPr>
              <w:t>项要素要求并且描述无缺陷符合项目实际需求得</w:t>
            </w:r>
            <w:r>
              <w:rPr>
                <w:rFonts w:hint="eastAsia" w:ascii="宋体" w:hAnsi="宋体" w:eastAsia="宋体" w:cs="宋体"/>
                <w:spacing w:val="-3"/>
                <w:sz w:val="24"/>
                <w:szCs w:val="24"/>
                <w:lang w:val="en-US" w:eastAsia="zh-CN" w:bidi="ar-SA"/>
              </w:rPr>
              <w:t>15</w:t>
            </w:r>
            <w:r>
              <w:rPr>
                <w:rFonts w:hint="eastAsia" w:ascii="宋体" w:hAnsi="宋体" w:eastAsia="宋体" w:cs="宋体"/>
                <w:spacing w:val="-3"/>
                <w:sz w:val="24"/>
                <w:szCs w:val="24"/>
                <w:lang w:val="en-US" w:eastAsia="en-US" w:bidi="ar-SA"/>
              </w:rPr>
              <w:t xml:space="preserve">分。 </w:t>
            </w:r>
          </w:p>
          <w:p w14:paraId="11EE5EFE">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（缺陷是指：内容不完整或缺少关键点；非专门针对本项目或不适用本项目特性、套用其他项目内容；存在逻辑漏洞 、科学原理或常识错误；方案与业务需求不符，不利于本项目实施等任意一种情形）</w:t>
            </w:r>
          </w:p>
        </w:tc>
      </w:tr>
      <w:tr w14:paraId="629FE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 w:hRule="atLeast"/>
          <w:jc w:val="center"/>
        </w:trPr>
        <w:tc>
          <w:tcPr>
            <w:tcW w:w="1236" w:type="dxa"/>
            <w:vMerge w:val="continue"/>
            <w:tcBorders>
              <w:top w:val="nil"/>
              <w:bottom w:val="nil"/>
            </w:tcBorders>
            <w:vAlign w:val="top"/>
          </w:tcPr>
          <w:p w14:paraId="0872CA5B">
            <w:pPr>
              <w:rPr>
                <w:rFonts w:ascii="Arial"/>
                <w:sz w:val="24"/>
                <w:szCs w:val="24"/>
              </w:rPr>
            </w:pPr>
          </w:p>
        </w:tc>
        <w:tc>
          <w:tcPr>
            <w:tcW w:w="1121" w:type="dxa"/>
            <w:vAlign w:val="center"/>
          </w:tcPr>
          <w:p w14:paraId="6FBA44E2">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lang w:val="en-US" w:eastAsia="zh-CN" w:bidi="ar-SA"/>
              </w:rPr>
            </w:pPr>
            <w:r>
              <w:rPr>
                <w:rFonts w:hint="eastAsia" w:ascii="宋体" w:hAnsi="宋体" w:eastAsia="宋体" w:cs="宋体"/>
                <w:spacing w:val="-3"/>
                <w:sz w:val="24"/>
                <w:szCs w:val="24"/>
                <w:lang w:val="en-US" w:eastAsia="zh-CN" w:bidi="ar-SA"/>
              </w:rPr>
              <w:t>实施进度计划</w:t>
            </w:r>
          </w:p>
          <w:p w14:paraId="0AE4667D">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lang w:val="en-US" w:eastAsia="zh-CN" w:bidi="ar-SA"/>
              </w:rPr>
            </w:pPr>
            <w:r>
              <w:rPr>
                <w:rFonts w:hint="eastAsia" w:cs="宋体"/>
                <w:spacing w:val="-3"/>
                <w:sz w:val="24"/>
                <w:szCs w:val="24"/>
                <w:lang w:val="en-US" w:eastAsia="zh-CN" w:bidi="ar-SA"/>
              </w:rPr>
              <w:t>（10分）</w:t>
            </w:r>
          </w:p>
        </w:tc>
        <w:tc>
          <w:tcPr>
            <w:tcW w:w="7658" w:type="dxa"/>
            <w:vAlign w:val="top"/>
          </w:tcPr>
          <w:p w14:paraId="403B15F5">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针对本项目实施进度计划进行评审：包括但不限于</w:t>
            </w:r>
            <w:r>
              <w:rPr>
                <w:rFonts w:hint="eastAsia" w:ascii="宋体" w:hAnsi="宋体" w:eastAsia="宋体" w:cs="宋体"/>
                <w:spacing w:val="-3"/>
                <w:sz w:val="24"/>
                <w:szCs w:val="24"/>
                <w:lang w:val="en-US" w:eastAsia="zh-CN" w:bidi="ar-SA"/>
              </w:rPr>
              <w:t>①</w:t>
            </w:r>
            <w:r>
              <w:rPr>
                <w:rFonts w:hint="eastAsia" w:ascii="宋体" w:hAnsi="宋体" w:eastAsia="宋体" w:cs="宋体"/>
                <w:spacing w:val="-3"/>
                <w:sz w:val="24"/>
                <w:szCs w:val="24"/>
                <w:lang w:val="en-US" w:eastAsia="en-US" w:bidi="ar-SA"/>
              </w:rPr>
              <w:t>进度计划安排</w:t>
            </w:r>
            <w:r>
              <w:rPr>
                <w:rFonts w:hint="eastAsia" w:ascii="宋体" w:hAnsi="宋体" w:eastAsia="宋体" w:cs="宋体"/>
                <w:spacing w:val="-3"/>
                <w:sz w:val="24"/>
                <w:szCs w:val="24"/>
                <w:lang w:val="en-US" w:eastAsia="zh-CN" w:bidi="ar-SA"/>
              </w:rPr>
              <w:t>；②</w:t>
            </w:r>
            <w:r>
              <w:rPr>
                <w:rFonts w:hint="eastAsia" w:ascii="宋体" w:hAnsi="宋体" w:eastAsia="宋体" w:cs="宋体"/>
                <w:spacing w:val="-3"/>
                <w:sz w:val="24"/>
                <w:szCs w:val="24"/>
                <w:lang w:val="en-US" w:eastAsia="en-US" w:bidi="ar-SA"/>
              </w:rPr>
              <w:t>检测进度影响因素。</w:t>
            </w:r>
          </w:p>
          <w:p w14:paraId="54EB0C13">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1)以上</w:t>
            </w:r>
            <w:r>
              <w:rPr>
                <w:rFonts w:hint="eastAsia" w:ascii="宋体" w:hAnsi="宋体" w:eastAsia="宋体" w:cs="宋体"/>
                <w:spacing w:val="-3"/>
                <w:sz w:val="24"/>
                <w:szCs w:val="24"/>
                <w:lang w:val="en-US" w:eastAsia="zh-CN" w:bidi="ar-SA"/>
              </w:rPr>
              <w:t>2</w:t>
            </w:r>
            <w:r>
              <w:rPr>
                <w:rFonts w:hint="eastAsia" w:ascii="宋体" w:hAnsi="宋体" w:eastAsia="宋体" w:cs="宋体"/>
                <w:spacing w:val="-3"/>
                <w:sz w:val="24"/>
                <w:szCs w:val="24"/>
                <w:lang w:val="en-US" w:eastAsia="en-US" w:bidi="ar-SA"/>
              </w:rPr>
              <w:t>项每缺少一项要素扣5分，扣完为止；</w:t>
            </w:r>
          </w:p>
          <w:p w14:paraId="3D3F5D26">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2)每一小项要素中若有描述缺陷不符合项目实际要求的，每有一处扣</w:t>
            </w:r>
            <w:r>
              <w:rPr>
                <w:rFonts w:hint="eastAsia" w:cs="宋体"/>
                <w:spacing w:val="-3"/>
                <w:sz w:val="24"/>
                <w:szCs w:val="24"/>
                <w:lang w:val="en-US" w:eastAsia="zh-CN" w:bidi="ar-SA"/>
              </w:rPr>
              <w:t>2.5</w:t>
            </w:r>
            <w:r>
              <w:rPr>
                <w:rFonts w:hint="eastAsia" w:ascii="宋体" w:hAnsi="宋体" w:eastAsia="宋体" w:cs="宋体"/>
                <w:spacing w:val="-3"/>
                <w:sz w:val="24"/>
                <w:szCs w:val="24"/>
                <w:lang w:val="en-US" w:eastAsia="en-US" w:bidi="ar-SA"/>
              </w:rPr>
              <w:t>分，最多扣5分；</w:t>
            </w:r>
          </w:p>
          <w:p w14:paraId="0BECBF3B">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3）全部满足以上</w:t>
            </w:r>
            <w:r>
              <w:rPr>
                <w:rFonts w:hint="eastAsia" w:ascii="宋体" w:hAnsi="宋体" w:eastAsia="宋体" w:cs="宋体"/>
                <w:spacing w:val="-3"/>
                <w:sz w:val="24"/>
                <w:szCs w:val="24"/>
                <w:lang w:val="en-US" w:eastAsia="zh-CN" w:bidi="ar-SA"/>
              </w:rPr>
              <w:t>2</w:t>
            </w:r>
            <w:r>
              <w:rPr>
                <w:rFonts w:hint="eastAsia" w:ascii="宋体" w:hAnsi="宋体" w:eastAsia="宋体" w:cs="宋体"/>
                <w:spacing w:val="-3"/>
                <w:sz w:val="24"/>
                <w:szCs w:val="24"/>
                <w:lang w:val="en-US" w:eastAsia="en-US" w:bidi="ar-SA"/>
              </w:rPr>
              <w:t>项要素要求并且描述无缺陷符合项目实际需求得</w:t>
            </w:r>
            <w:r>
              <w:rPr>
                <w:rFonts w:hint="eastAsia" w:ascii="宋体" w:hAnsi="宋体" w:eastAsia="宋体" w:cs="宋体"/>
                <w:spacing w:val="-3"/>
                <w:sz w:val="24"/>
                <w:szCs w:val="24"/>
                <w:lang w:val="en-US" w:eastAsia="zh-CN" w:bidi="ar-SA"/>
              </w:rPr>
              <w:t>10</w:t>
            </w:r>
            <w:r>
              <w:rPr>
                <w:rFonts w:hint="eastAsia" w:ascii="宋体" w:hAnsi="宋体" w:eastAsia="宋体" w:cs="宋体"/>
                <w:spacing w:val="-3"/>
                <w:sz w:val="24"/>
                <w:szCs w:val="24"/>
                <w:lang w:val="en-US" w:eastAsia="en-US" w:bidi="ar-SA"/>
              </w:rPr>
              <w:t xml:space="preserve">分。 </w:t>
            </w:r>
          </w:p>
          <w:p w14:paraId="3BC5675A">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（缺陷是指：内容不完整或缺少关键点；非专门针对本项目或不适用本项目特性、套用其他项目内容；存在逻辑漏洞 、科学原理或常识错误；方案与业务需求不符，不利于本项目实施等任意一种情形）</w:t>
            </w:r>
          </w:p>
        </w:tc>
      </w:tr>
      <w:tr w14:paraId="4133DA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 w:hRule="atLeast"/>
          <w:jc w:val="center"/>
        </w:trPr>
        <w:tc>
          <w:tcPr>
            <w:tcW w:w="1236" w:type="dxa"/>
            <w:vMerge w:val="continue"/>
            <w:tcBorders>
              <w:top w:val="nil"/>
              <w:bottom w:val="nil"/>
            </w:tcBorders>
            <w:vAlign w:val="top"/>
          </w:tcPr>
          <w:p w14:paraId="7CEEAB7C">
            <w:pPr>
              <w:rPr>
                <w:rFonts w:ascii="Arial"/>
                <w:sz w:val="24"/>
                <w:szCs w:val="24"/>
              </w:rPr>
            </w:pPr>
          </w:p>
        </w:tc>
        <w:tc>
          <w:tcPr>
            <w:tcW w:w="1121" w:type="dxa"/>
            <w:vAlign w:val="center"/>
          </w:tcPr>
          <w:p w14:paraId="16E9B4FF">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lang w:val="en-US" w:eastAsia="zh-CN" w:bidi="ar-SA"/>
              </w:rPr>
            </w:pPr>
            <w:r>
              <w:rPr>
                <w:rFonts w:hint="eastAsia" w:ascii="宋体" w:hAnsi="宋体" w:eastAsia="宋体" w:cs="宋体"/>
                <w:spacing w:val="-3"/>
                <w:sz w:val="24"/>
                <w:szCs w:val="24"/>
                <w:lang w:val="en-US" w:eastAsia="zh-CN" w:bidi="ar-SA"/>
              </w:rPr>
              <w:t>服务质量及保证措施</w:t>
            </w:r>
            <w:r>
              <w:rPr>
                <w:rFonts w:hint="eastAsia" w:cs="宋体"/>
                <w:spacing w:val="-3"/>
                <w:sz w:val="24"/>
                <w:szCs w:val="24"/>
                <w:lang w:val="en-US" w:eastAsia="zh-CN" w:bidi="ar-SA"/>
              </w:rPr>
              <w:t>（4分）</w:t>
            </w:r>
          </w:p>
        </w:tc>
        <w:tc>
          <w:tcPr>
            <w:tcW w:w="7658" w:type="dxa"/>
            <w:vAlign w:val="top"/>
          </w:tcPr>
          <w:p w14:paraId="069BC71A">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针对本项目</w:t>
            </w:r>
            <w:r>
              <w:rPr>
                <w:rFonts w:hint="eastAsia" w:ascii="宋体" w:hAnsi="宋体" w:eastAsia="宋体" w:cs="宋体"/>
                <w:spacing w:val="-3"/>
                <w:sz w:val="24"/>
                <w:szCs w:val="24"/>
                <w:lang w:val="en-US" w:eastAsia="zh-CN" w:bidi="ar-SA"/>
              </w:rPr>
              <w:t>服务质量及保证措施</w:t>
            </w:r>
            <w:r>
              <w:rPr>
                <w:rFonts w:hint="eastAsia" w:ascii="宋体" w:hAnsi="宋体" w:eastAsia="宋体" w:cs="宋体"/>
                <w:spacing w:val="-3"/>
                <w:sz w:val="24"/>
                <w:szCs w:val="24"/>
                <w:lang w:val="en-US" w:eastAsia="en-US" w:bidi="ar-SA"/>
              </w:rPr>
              <w:t>：包括但不限于</w:t>
            </w:r>
            <w:r>
              <w:rPr>
                <w:rFonts w:hint="eastAsia" w:ascii="宋体" w:hAnsi="宋体" w:eastAsia="宋体" w:cs="宋体"/>
                <w:spacing w:val="-3"/>
                <w:sz w:val="24"/>
                <w:szCs w:val="24"/>
                <w:lang w:val="en-US" w:eastAsia="zh-CN" w:bidi="ar-SA"/>
              </w:rPr>
              <w:t>①</w:t>
            </w:r>
            <w:r>
              <w:rPr>
                <w:rFonts w:hint="eastAsia" w:ascii="宋体" w:hAnsi="宋体" w:eastAsia="宋体" w:cs="宋体"/>
                <w:spacing w:val="-3"/>
                <w:sz w:val="24"/>
                <w:szCs w:val="24"/>
                <w:lang w:val="en-US" w:eastAsia="en-US" w:bidi="ar-SA"/>
              </w:rPr>
              <w:t>服务质量</w:t>
            </w:r>
            <w:r>
              <w:rPr>
                <w:rFonts w:hint="eastAsia" w:ascii="宋体" w:hAnsi="宋体" w:eastAsia="宋体" w:cs="宋体"/>
                <w:spacing w:val="-3"/>
                <w:sz w:val="24"/>
                <w:szCs w:val="24"/>
                <w:lang w:val="en-US" w:eastAsia="zh-CN" w:bidi="ar-SA"/>
              </w:rPr>
              <w:t>；②</w:t>
            </w:r>
            <w:r>
              <w:rPr>
                <w:rFonts w:hint="eastAsia" w:ascii="宋体" w:hAnsi="宋体" w:eastAsia="宋体" w:cs="宋体"/>
                <w:spacing w:val="-3"/>
                <w:sz w:val="24"/>
                <w:szCs w:val="24"/>
                <w:lang w:val="en-US" w:eastAsia="en-US" w:bidi="ar-SA"/>
              </w:rPr>
              <w:t>保证措施。</w:t>
            </w:r>
          </w:p>
          <w:p w14:paraId="69DFD05B">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1)以上</w:t>
            </w:r>
            <w:r>
              <w:rPr>
                <w:rFonts w:hint="eastAsia" w:ascii="宋体" w:hAnsi="宋体" w:eastAsia="宋体" w:cs="宋体"/>
                <w:spacing w:val="-3"/>
                <w:sz w:val="24"/>
                <w:szCs w:val="24"/>
                <w:lang w:val="en-US" w:eastAsia="zh-CN" w:bidi="ar-SA"/>
              </w:rPr>
              <w:t>2</w:t>
            </w:r>
            <w:r>
              <w:rPr>
                <w:rFonts w:hint="eastAsia" w:ascii="宋体" w:hAnsi="宋体" w:eastAsia="宋体" w:cs="宋体"/>
                <w:spacing w:val="-3"/>
                <w:sz w:val="24"/>
                <w:szCs w:val="24"/>
                <w:lang w:val="en-US" w:eastAsia="en-US" w:bidi="ar-SA"/>
              </w:rPr>
              <w:t>项每缺少一项要素扣</w:t>
            </w:r>
            <w:r>
              <w:rPr>
                <w:rFonts w:hint="eastAsia" w:cs="宋体"/>
                <w:spacing w:val="-3"/>
                <w:sz w:val="24"/>
                <w:szCs w:val="24"/>
                <w:lang w:val="en-US" w:eastAsia="zh-CN" w:bidi="ar-SA"/>
              </w:rPr>
              <w:t>2</w:t>
            </w:r>
            <w:r>
              <w:rPr>
                <w:rFonts w:hint="eastAsia" w:ascii="宋体" w:hAnsi="宋体" w:eastAsia="宋体" w:cs="宋体"/>
                <w:spacing w:val="-3"/>
                <w:sz w:val="24"/>
                <w:szCs w:val="24"/>
                <w:lang w:val="en-US" w:eastAsia="en-US" w:bidi="ar-SA"/>
              </w:rPr>
              <w:t>分，扣完为止；</w:t>
            </w:r>
          </w:p>
          <w:p w14:paraId="7694C6B4">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2)每一小项要素中若有描述缺陷不符合项目实际要求的，每有一处扣1分，最多扣</w:t>
            </w:r>
            <w:r>
              <w:rPr>
                <w:rFonts w:hint="eastAsia" w:cs="宋体"/>
                <w:spacing w:val="-3"/>
                <w:sz w:val="24"/>
                <w:szCs w:val="24"/>
                <w:lang w:val="en-US" w:eastAsia="zh-CN" w:bidi="ar-SA"/>
              </w:rPr>
              <w:t>2</w:t>
            </w:r>
            <w:r>
              <w:rPr>
                <w:rFonts w:hint="eastAsia" w:ascii="宋体" w:hAnsi="宋体" w:eastAsia="宋体" w:cs="宋体"/>
                <w:spacing w:val="-3"/>
                <w:sz w:val="24"/>
                <w:szCs w:val="24"/>
                <w:lang w:val="en-US" w:eastAsia="en-US" w:bidi="ar-SA"/>
              </w:rPr>
              <w:t>分；</w:t>
            </w:r>
          </w:p>
          <w:p w14:paraId="4C2A90F9">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3）全部满足以上</w:t>
            </w:r>
            <w:r>
              <w:rPr>
                <w:rFonts w:hint="eastAsia" w:ascii="宋体" w:hAnsi="宋体" w:eastAsia="宋体" w:cs="宋体"/>
                <w:spacing w:val="-3"/>
                <w:sz w:val="24"/>
                <w:szCs w:val="24"/>
                <w:lang w:val="en-US" w:eastAsia="zh-CN" w:bidi="ar-SA"/>
              </w:rPr>
              <w:t>2</w:t>
            </w:r>
            <w:r>
              <w:rPr>
                <w:rFonts w:hint="eastAsia" w:ascii="宋体" w:hAnsi="宋体" w:eastAsia="宋体" w:cs="宋体"/>
                <w:spacing w:val="-3"/>
                <w:sz w:val="24"/>
                <w:szCs w:val="24"/>
                <w:lang w:val="en-US" w:eastAsia="en-US" w:bidi="ar-SA"/>
              </w:rPr>
              <w:t>项要素要求并且描述无缺陷符合项目实际需求得</w:t>
            </w:r>
            <w:r>
              <w:rPr>
                <w:rFonts w:hint="eastAsia" w:cs="宋体"/>
                <w:spacing w:val="-3"/>
                <w:sz w:val="24"/>
                <w:szCs w:val="24"/>
                <w:lang w:val="en-US" w:eastAsia="zh-CN" w:bidi="ar-SA"/>
              </w:rPr>
              <w:t>4</w:t>
            </w:r>
            <w:r>
              <w:rPr>
                <w:rFonts w:hint="eastAsia" w:ascii="宋体" w:hAnsi="宋体" w:eastAsia="宋体" w:cs="宋体"/>
                <w:spacing w:val="-3"/>
                <w:sz w:val="24"/>
                <w:szCs w:val="24"/>
                <w:lang w:val="en-US" w:eastAsia="en-US" w:bidi="ar-SA"/>
              </w:rPr>
              <w:t xml:space="preserve">分。 </w:t>
            </w:r>
          </w:p>
          <w:p w14:paraId="6B8862B5">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（缺陷是指：内容不完整或缺少关键点；非专门针对本项目或不适用本项目特性、套用其他项目内容；存在逻辑漏洞 、科学原理或常识错误；方案与业务需求不符，不利于本项目实施等任意一种情形）</w:t>
            </w:r>
          </w:p>
        </w:tc>
      </w:tr>
      <w:tr w14:paraId="12834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 w:hRule="atLeast"/>
          <w:jc w:val="center"/>
        </w:trPr>
        <w:tc>
          <w:tcPr>
            <w:tcW w:w="1236" w:type="dxa"/>
            <w:vMerge w:val="continue"/>
            <w:tcBorders>
              <w:top w:val="nil"/>
              <w:bottom w:val="single" w:color="auto" w:sz="4" w:space="0"/>
            </w:tcBorders>
            <w:vAlign w:val="top"/>
          </w:tcPr>
          <w:p w14:paraId="0376A068">
            <w:pPr>
              <w:rPr>
                <w:rFonts w:ascii="Arial"/>
                <w:sz w:val="24"/>
                <w:szCs w:val="24"/>
              </w:rPr>
            </w:pPr>
          </w:p>
        </w:tc>
        <w:tc>
          <w:tcPr>
            <w:tcW w:w="1121" w:type="dxa"/>
            <w:vAlign w:val="center"/>
          </w:tcPr>
          <w:p w14:paraId="4E763831">
            <w:pPr>
              <w:pStyle w:val="33"/>
              <w:keepNext w:val="0"/>
              <w:keepLines w:val="0"/>
              <w:pageBreakBefore w:val="0"/>
              <w:widowControl w:val="0"/>
              <w:kinsoku/>
              <w:wordWrap/>
              <w:overflowPunct/>
              <w:topLinePunct w:val="0"/>
              <w:autoSpaceDE w:val="0"/>
              <w:autoSpaceDN w:val="0"/>
              <w:bidi w:val="0"/>
              <w:adjustRightInd/>
              <w:snapToGrid/>
              <w:spacing w:before="114" w:line="257" w:lineRule="auto"/>
              <w:ind w:right="0" w:rightChars="0"/>
              <w:jc w:val="center"/>
              <w:textAlignment w:val="auto"/>
              <w:rPr>
                <w:rFonts w:hint="eastAsia" w:ascii="宋体" w:hAnsi="宋体" w:eastAsia="宋体" w:cs="宋体"/>
                <w:spacing w:val="-3"/>
                <w:sz w:val="24"/>
                <w:szCs w:val="24"/>
                <w:lang w:val="en-US" w:eastAsia="zh-CN" w:bidi="ar-SA"/>
              </w:rPr>
            </w:pPr>
            <w:r>
              <w:rPr>
                <w:rFonts w:hint="eastAsia" w:ascii="宋体" w:hAnsi="宋体" w:eastAsia="宋体" w:cs="宋体"/>
                <w:spacing w:val="-3"/>
                <w:sz w:val="24"/>
                <w:szCs w:val="24"/>
                <w:lang w:val="en-US" w:eastAsia="zh-CN" w:bidi="ar-SA"/>
              </w:rPr>
              <w:t>售后服务方案</w:t>
            </w:r>
            <w:r>
              <w:rPr>
                <w:rFonts w:hint="eastAsia" w:cs="宋体"/>
                <w:spacing w:val="-3"/>
                <w:sz w:val="24"/>
                <w:szCs w:val="24"/>
                <w:lang w:val="en-US" w:eastAsia="zh-CN" w:bidi="ar-SA"/>
              </w:rPr>
              <w:t>（10）</w:t>
            </w:r>
          </w:p>
        </w:tc>
        <w:tc>
          <w:tcPr>
            <w:tcW w:w="7658" w:type="dxa"/>
            <w:vAlign w:val="top"/>
          </w:tcPr>
          <w:p w14:paraId="1013B410">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针对本项目所提供的：包括但不限于</w:t>
            </w:r>
            <w:r>
              <w:rPr>
                <w:rFonts w:hint="eastAsia" w:ascii="宋体" w:hAnsi="宋体" w:eastAsia="宋体" w:cs="宋体"/>
                <w:spacing w:val="-3"/>
                <w:sz w:val="24"/>
                <w:szCs w:val="24"/>
                <w:lang w:val="en-US" w:eastAsia="zh-CN" w:bidi="ar-SA"/>
              </w:rPr>
              <w:t>①</w:t>
            </w:r>
            <w:r>
              <w:rPr>
                <w:rFonts w:hint="eastAsia" w:ascii="宋体" w:hAnsi="宋体" w:eastAsia="宋体" w:cs="宋体"/>
                <w:spacing w:val="-3"/>
                <w:sz w:val="24"/>
                <w:szCs w:val="24"/>
                <w:lang w:val="en-US" w:eastAsia="en-US" w:bidi="ar-SA"/>
              </w:rPr>
              <w:t>售后服务方案</w:t>
            </w:r>
            <w:r>
              <w:rPr>
                <w:rFonts w:hint="eastAsia" w:ascii="宋体" w:hAnsi="宋体" w:eastAsia="宋体" w:cs="宋体"/>
                <w:spacing w:val="-3"/>
                <w:sz w:val="24"/>
                <w:szCs w:val="24"/>
                <w:lang w:val="en-US" w:eastAsia="zh-CN" w:bidi="ar-SA"/>
              </w:rPr>
              <w:t>；②</w:t>
            </w:r>
            <w:r>
              <w:rPr>
                <w:rFonts w:hint="eastAsia" w:ascii="宋体" w:hAnsi="宋体" w:eastAsia="宋体" w:cs="宋体"/>
                <w:spacing w:val="-3"/>
                <w:sz w:val="24"/>
                <w:szCs w:val="24"/>
                <w:lang w:val="en-US" w:eastAsia="en-US" w:bidi="ar-SA"/>
              </w:rPr>
              <w:t>售后人员配备</w:t>
            </w:r>
            <w:r>
              <w:rPr>
                <w:rFonts w:hint="eastAsia" w:ascii="宋体" w:hAnsi="宋体" w:eastAsia="宋体" w:cs="宋体"/>
                <w:spacing w:val="-3"/>
                <w:sz w:val="24"/>
                <w:szCs w:val="24"/>
                <w:lang w:val="en-US" w:eastAsia="zh-CN" w:bidi="ar-SA"/>
              </w:rPr>
              <w:t>③</w:t>
            </w:r>
            <w:r>
              <w:rPr>
                <w:rFonts w:hint="eastAsia" w:ascii="宋体" w:hAnsi="宋体" w:eastAsia="宋体" w:cs="宋体"/>
                <w:spacing w:val="-3"/>
                <w:sz w:val="24"/>
                <w:szCs w:val="24"/>
                <w:lang w:val="en-US" w:eastAsia="en-US" w:bidi="ar-SA"/>
              </w:rPr>
              <w:t>售后服务保障措施</w:t>
            </w:r>
            <w:r>
              <w:rPr>
                <w:rFonts w:hint="eastAsia" w:ascii="宋体" w:hAnsi="宋体" w:eastAsia="宋体" w:cs="宋体"/>
                <w:spacing w:val="-3"/>
                <w:sz w:val="24"/>
                <w:szCs w:val="24"/>
                <w:lang w:val="en-US" w:eastAsia="zh-CN" w:bidi="ar-SA"/>
              </w:rPr>
              <w:t>；④</w:t>
            </w:r>
            <w:r>
              <w:rPr>
                <w:rFonts w:hint="eastAsia" w:ascii="宋体" w:hAnsi="宋体" w:eastAsia="宋体" w:cs="宋体"/>
                <w:spacing w:val="-3"/>
                <w:sz w:val="24"/>
                <w:szCs w:val="24"/>
                <w:lang w:val="en-US" w:eastAsia="en-US" w:bidi="ar-SA"/>
              </w:rPr>
              <w:t>售后服务技术支持</w:t>
            </w:r>
            <w:r>
              <w:rPr>
                <w:rFonts w:hint="eastAsia" w:ascii="宋体" w:hAnsi="宋体" w:eastAsia="宋体" w:cs="宋体"/>
                <w:spacing w:val="-3"/>
                <w:sz w:val="24"/>
                <w:szCs w:val="24"/>
                <w:lang w:val="en-US" w:eastAsia="zh-CN" w:bidi="ar-SA"/>
              </w:rPr>
              <w:t>；⑤</w:t>
            </w:r>
            <w:r>
              <w:rPr>
                <w:rFonts w:hint="eastAsia" w:ascii="宋体" w:hAnsi="宋体" w:eastAsia="宋体" w:cs="宋体"/>
                <w:spacing w:val="-3"/>
                <w:sz w:val="24"/>
                <w:szCs w:val="24"/>
                <w:lang w:val="en-US" w:eastAsia="en-US" w:bidi="ar-SA"/>
              </w:rPr>
              <w:t>售后服务响应能力。</w:t>
            </w:r>
          </w:p>
          <w:p w14:paraId="510485D6">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1)以上</w:t>
            </w:r>
            <w:r>
              <w:rPr>
                <w:rFonts w:hint="eastAsia" w:cs="宋体"/>
                <w:spacing w:val="-3"/>
                <w:sz w:val="24"/>
                <w:szCs w:val="24"/>
                <w:lang w:val="en-US" w:eastAsia="zh-CN" w:bidi="ar-SA"/>
              </w:rPr>
              <w:t>5</w:t>
            </w:r>
            <w:r>
              <w:rPr>
                <w:rFonts w:hint="eastAsia" w:ascii="宋体" w:hAnsi="宋体" w:eastAsia="宋体" w:cs="宋体"/>
                <w:spacing w:val="-3"/>
                <w:sz w:val="24"/>
                <w:szCs w:val="24"/>
                <w:lang w:val="en-US" w:eastAsia="en-US" w:bidi="ar-SA"/>
              </w:rPr>
              <w:t>项每缺少一项要素扣</w:t>
            </w:r>
            <w:r>
              <w:rPr>
                <w:rFonts w:hint="eastAsia" w:cs="宋体"/>
                <w:spacing w:val="-3"/>
                <w:sz w:val="24"/>
                <w:szCs w:val="24"/>
                <w:lang w:val="en-US" w:eastAsia="zh-CN" w:bidi="ar-SA"/>
              </w:rPr>
              <w:t>2</w:t>
            </w:r>
            <w:r>
              <w:rPr>
                <w:rFonts w:hint="eastAsia" w:ascii="宋体" w:hAnsi="宋体" w:eastAsia="宋体" w:cs="宋体"/>
                <w:spacing w:val="-3"/>
                <w:sz w:val="24"/>
                <w:szCs w:val="24"/>
                <w:lang w:val="en-US" w:eastAsia="en-US" w:bidi="ar-SA"/>
              </w:rPr>
              <w:t>分，扣完为止；</w:t>
            </w:r>
          </w:p>
          <w:p w14:paraId="14DCE52A">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2)每一小项要素中若有描述缺陷不符合项目实际要求的，每有一处扣1分，最多扣</w:t>
            </w:r>
            <w:r>
              <w:rPr>
                <w:rFonts w:hint="eastAsia" w:cs="宋体"/>
                <w:spacing w:val="-3"/>
                <w:sz w:val="24"/>
                <w:szCs w:val="24"/>
                <w:lang w:val="en-US" w:eastAsia="zh-CN" w:bidi="ar-SA"/>
              </w:rPr>
              <w:t>2</w:t>
            </w:r>
            <w:r>
              <w:rPr>
                <w:rFonts w:hint="eastAsia" w:ascii="宋体" w:hAnsi="宋体" w:eastAsia="宋体" w:cs="宋体"/>
                <w:spacing w:val="-3"/>
                <w:sz w:val="24"/>
                <w:szCs w:val="24"/>
                <w:lang w:val="en-US" w:eastAsia="en-US" w:bidi="ar-SA"/>
              </w:rPr>
              <w:t>分；</w:t>
            </w:r>
          </w:p>
          <w:p w14:paraId="1D88D3D9">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3）全部满足以上</w:t>
            </w:r>
            <w:r>
              <w:rPr>
                <w:rFonts w:hint="eastAsia" w:cs="宋体"/>
                <w:spacing w:val="-3"/>
                <w:sz w:val="24"/>
                <w:szCs w:val="24"/>
                <w:lang w:val="en-US" w:eastAsia="zh-CN" w:bidi="ar-SA"/>
              </w:rPr>
              <w:t>5</w:t>
            </w:r>
            <w:r>
              <w:rPr>
                <w:rFonts w:hint="eastAsia" w:ascii="宋体" w:hAnsi="宋体" w:eastAsia="宋体" w:cs="宋体"/>
                <w:spacing w:val="-3"/>
                <w:sz w:val="24"/>
                <w:szCs w:val="24"/>
                <w:lang w:val="en-US" w:eastAsia="en-US" w:bidi="ar-SA"/>
              </w:rPr>
              <w:t>项要素要求并且描述无缺陷符合项目实际需求得</w:t>
            </w:r>
            <w:r>
              <w:rPr>
                <w:rFonts w:hint="eastAsia" w:ascii="宋体" w:hAnsi="宋体" w:eastAsia="宋体" w:cs="宋体"/>
                <w:spacing w:val="-3"/>
                <w:sz w:val="24"/>
                <w:szCs w:val="24"/>
                <w:lang w:val="en-US" w:eastAsia="zh-CN" w:bidi="ar-SA"/>
              </w:rPr>
              <w:t>10</w:t>
            </w:r>
            <w:r>
              <w:rPr>
                <w:rFonts w:hint="eastAsia" w:ascii="宋体" w:hAnsi="宋体" w:eastAsia="宋体" w:cs="宋体"/>
                <w:spacing w:val="-3"/>
                <w:sz w:val="24"/>
                <w:szCs w:val="24"/>
                <w:lang w:val="en-US" w:eastAsia="en-US" w:bidi="ar-SA"/>
              </w:rPr>
              <w:t xml:space="preserve">分。 </w:t>
            </w:r>
          </w:p>
          <w:p w14:paraId="0E17DE9F">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eastAsia" w:ascii="宋体" w:hAnsi="宋体" w:eastAsia="宋体" w:cs="宋体"/>
                <w:spacing w:val="-3"/>
                <w:sz w:val="24"/>
                <w:szCs w:val="24"/>
                <w:lang w:val="en-US" w:eastAsia="en-US" w:bidi="ar-SA"/>
              </w:rPr>
            </w:pPr>
            <w:r>
              <w:rPr>
                <w:rFonts w:hint="eastAsia" w:ascii="宋体" w:hAnsi="宋体" w:eastAsia="宋体" w:cs="宋体"/>
                <w:spacing w:val="-3"/>
                <w:sz w:val="24"/>
                <w:szCs w:val="24"/>
                <w:lang w:val="en-US" w:eastAsia="en-US" w:bidi="ar-SA"/>
              </w:rPr>
              <w:t>（缺陷是指：内容不完整或缺少关键点；非专门针对本项目或不适用本项目特性、套用其他项目内容；存在逻辑漏洞 、科学原理或常识错误；方案与业务需求不符，不利于本项目实施等任意一种情形）</w:t>
            </w:r>
          </w:p>
        </w:tc>
      </w:tr>
      <w:tr w14:paraId="095CE0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3" w:hRule="atLeast"/>
          <w:jc w:val="center"/>
        </w:trPr>
        <w:tc>
          <w:tcPr>
            <w:tcW w:w="1236" w:type="dxa"/>
            <w:vMerge w:val="restart"/>
            <w:tcBorders>
              <w:top w:val="single" w:color="auto" w:sz="4" w:space="0"/>
              <w:left w:val="single" w:color="auto" w:sz="4" w:space="0"/>
              <w:bottom w:val="single" w:color="auto" w:sz="4" w:space="0"/>
              <w:right w:val="single" w:color="auto" w:sz="4" w:space="0"/>
            </w:tcBorders>
            <w:vAlign w:val="center"/>
          </w:tcPr>
          <w:p w14:paraId="1C7EF41E">
            <w:pPr>
              <w:pStyle w:val="33"/>
              <w:keepNext w:val="0"/>
              <w:keepLines w:val="0"/>
              <w:pageBreakBefore w:val="0"/>
              <w:widowControl w:val="0"/>
              <w:kinsoku/>
              <w:wordWrap/>
              <w:overflowPunct/>
              <w:topLinePunct w:val="0"/>
              <w:autoSpaceDE w:val="0"/>
              <w:autoSpaceDN w:val="0"/>
              <w:bidi w:val="0"/>
              <w:adjustRightInd/>
              <w:snapToGrid/>
              <w:spacing w:before="88" w:line="360" w:lineRule="auto"/>
              <w:jc w:val="center"/>
              <w:textAlignment w:val="auto"/>
              <w:rPr>
                <w:rFonts w:ascii="宋体" w:hAnsi="宋体" w:eastAsia="宋体" w:cs="宋体"/>
                <w:spacing w:val="6"/>
                <w:sz w:val="24"/>
                <w:szCs w:val="24"/>
                <w:lang w:val="en-US" w:eastAsia="en-US" w:bidi="ar-SA"/>
              </w:rPr>
            </w:pPr>
            <w:r>
              <w:rPr>
                <w:rFonts w:hint="eastAsia" w:ascii="宋体" w:hAnsi="宋体" w:eastAsia="宋体" w:cs="宋体"/>
                <w:spacing w:val="6"/>
                <w:sz w:val="24"/>
                <w:szCs w:val="24"/>
                <w:lang w:val="en-US" w:eastAsia="zh-CN" w:bidi="ar-SA"/>
              </w:rPr>
              <w:t>商务</w:t>
            </w:r>
            <w:r>
              <w:rPr>
                <w:rFonts w:ascii="宋体" w:hAnsi="宋体" w:eastAsia="宋体" w:cs="宋体"/>
                <w:spacing w:val="6"/>
                <w:sz w:val="24"/>
                <w:szCs w:val="24"/>
                <w:lang w:val="en-US" w:eastAsia="en-US" w:bidi="ar-SA"/>
              </w:rPr>
              <w:t>部分</w:t>
            </w:r>
          </w:p>
          <w:p w14:paraId="2B1477D5">
            <w:pPr>
              <w:pStyle w:val="33"/>
              <w:keepNext w:val="0"/>
              <w:keepLines w:val="0"/>
              <w:pageBreakBefore w:val="0"/>
              <w:widowControl w:val="0"/>
              <w:kinsoku/>
              <w:wordWrap/>
              <w:overflowPunct/>
              <w:topLinePunct w:val="0"/>
              <w:autoSpaceDE w:val="0"/>
              <w:autoSpaceDN w:val="0"/>
              <w:bidi w:val="0"/>
              <w:adjustRightInd/>
              <w:snapToGrid/>
              <w:spacing w:before="88" w:line="360" w:lineRule="auto"/>
              <w:jc w:val="center"/>
              <w:textAlignment w:val="auto"/>
              <w:rPr>
                <w:rFonts w:ascii="宋体" w:hAnsi="宋体" w:eastAsia="宋体" w:cs="宋体"/>
                <w:spacing w:val="6"/>
                <w:sz w:val="24"/>
                <w:szCs w:val="24"/>
                <w:lang w:val="en-US" w:eastAsia="en-US" w:bidi="ar-SA"/>
              </w:rPr>
            </w:pPr>
            <w:r>
              <w:rPr>
                <w:rFonts w:ascii="宋体" w:hAnsi="宋体" w:eastAsia="宋体" w:cs="宋体"/>
                <w:spacing w:val="6"/>
                <w:sz w:val="24"/>
                <w:szCs w:val="24"/>
                <w:lang w:val="en-US" w:eastAsia="en-US" w:bidi="ar-SA"/>
              </w:rPr>
              <w:t>(1</w:t>
            </w:r>
            <w:r>
              <w:rPr>
                <w:rFonts w:hint="eastAsia" w:cs="宋体"/>
                <w:spacing w:val="6"/>
                <w:sz w:val="24"/>
                <w:szCs w:val="24"/>
                <w:lang w:val="en-US" w:eastAsia="zh-CN" w:bidi="ar-SA"/>
              </w:rPr>
              <w:t>5</w:t>
            </w:r>
            <w:r>
              <w:rPr>
                <w:rFonts w:ascii="宋体" w:hAnsi="宋体" w:eastAsia="宋体" w:cs="宋体"/>
                <w:spacing w:val="6"/>
                <w:sz w:val="24"/>
                <w:szCs w:val="24"/>
                <w:lang w:val="en-US" w:eastAsia="en-US" w:bidi="ar-SA"/>
              </w:rPr>
              <w:t>分)</w:t>
            </w:r>
          </w:p>
        </w:tc>
        <w:tc>
          <w:tcPr>
            <w:tcW w:w="1121" w:type="dxa"/>
            <w:tcBorders>
              <w:left w:val="single" w:color="auto" w:sz="4" w:space="0"/>
            </w:tcBorders>
            <w:shd w:val="clear" w:color="auto" w:fill="auto"/>
            <w:vAlign w:val="center"/>
          </w:tcPr>
          <w:p w14:paraId="55D48516">
            <w:pPr>
              <w:pStyle w:val="33"/>
              <w:keepNext w:val="0"/>
              <w:keepLines w:val="0"/>
              <w:pageBreakBefore w:val="0"/>
              <w:widowControl w:val="0"/>
              <w:kinsoku/>
              <w:wordWrap/>
              <w:overflowPunct/>
              <w:topLinePunct w:val="0"/>
              <w:autoSpaceDE w:val="0"/>
              <w:autoSpaceDN w:val="0"/>
              <w:bidi w:val="0"/>
              <w:adjustRightInd/>
              <w:snapToGrid/>
              <w:spacing w:before="88" w:line="220" w:lineRule="auto"/>
              <w:ind w:right="0" w:rightChars="0"/>
              <w:jc w:val="center"/>
              <w:textAlignment w:val="auto"/>
              <w:rPr>
                <w:rFonts w:ascii="宋体" w:hAnsi="宋体" w:eastAsia="宋体" w:cs="宋体"/>
                <w:spacing w:val="-3"/>
                <w:sz w:val="24"/>
                <w:szCs w:val="24"/>
                <w:highlight w:val="none"/>
                <w:lang w:val="en-US" w:eastAsia="en-US" w:bidi="ar-SA"/>
              </w:rPr>
            </w:pPr>
            <w:r>
              <w:rPr>
                <w:rFonts w:ascii="宋体" w:hAnsi="宋体" w:eastAsia="宋体" w:cs="宋体"/>
                <w:spacing w:val="-3"/>
                <w:sz w:val="24"/>
                <w:szCs w:val="24"/>
                <w:highlight w:val="none"/>
                <w:lang w:val="en-US" w:eastAsia="en-US" w:bidi="ar-SA"/>
              </w:rPr>
              <w:t>业绩(</w:t>
            </w:r>
            <w:r>
              <w:rPr>
                <w:rFonts w:hint="eastAsia" w:cs="宋体"/>
                <w:spacing w:val="-3"/>
                <w:sz w:val="24"/>
                <w:szCs w:val="24"/>
                <w:highlight w:val="none"/>
                <w:lang w:val="en-US" w:eastAsia="zh-CN" w:bidi="ar-SA"/>
              </w:rPr>
              <w:t>8</w:t>
            </w:r>
            <w:r>
              <w:rPr>
                <w:rFonts w:ascii="宋体" w:hAnsi="宋体" w:eastAsia="宋体" w:cs="宋体"/>
                <w:spacing w:val="-3"/>
                <w:sz w:val="24"/>
                <w:szCs w:val="24"/>
                <w:highlight w:val="none"/>
                <w:lang w:val="en-US" w:eastAsia="en-US" w:bidi="ar-SA"/>
              </w:rPr>
              <w:t>分)</w:t>
            </w:r>
          </w:p>
        </w:tc>
        <w:tc>
          <w:tcPr>
            <w:tcW w:w="7658" w:type="dxa"/>
            <w:shd w:val="clear" w:color="auto" w:fill="auto"/>
            <w:vAlign w:val="center"/>
          </w:tcPr>
          <w:p w14:paraId="15B7DA8A">
            <w:pPr>
              <w:pStyle w:val="33"/>
              <w:keepNext w:val="0"/>
              <w:keepLines w:val="0"/>
              <w:pageBreakBefore w:val="0"/>
              <w:widowControl w:val="0"/>
              <w:kinsoku/>
              <w:wordWrap/>
              <w:overflowPunct/>
              <w:topLinePunct w:val="0"/>
              <w:autoSpaceDE w:val="0"/>
              <w:autoSpaceDN w:val="0"/>
              <w:bidi w:val="0"/>
              <w:adjustRightInd/>
              <w:snapToGrid/>
              <w:spacing w:before="0" w:line="240" w:lineRule="auto"/>
              <w:ind w:right="0" w:rightChars="0"/>
              <w:textAlignment w:val="auto"/>
              <w:rPr>
                <w:rFonts w:hint="default" w:ascii="宋体" w:hAnsi="宋体" w:eastAsia="宋体" w:cs="宋体"/>
                <w:spacing w:val="-3"/>
                <w:sz w:val="24"/>
                <w:szCs w:val="24"/>
                <w:highlight w:val="none"/>
                <w:lang w:val="en-US" w:eastAsia="zh-CN" w:bidi="ar-SA"/>
              </w:rPr>
            </w:pPr>
            <w:r>
              <w:rPr>
                <w:rFonts w:hint="eastAsia" w:ascii="宋体" w:hAnsi="宋体" w:eastAsia="宋体" w:cs="宋体"/>
                <w:spacing w:val="-3"/>
                <w:sz w:val="24"/>
                <w:szCs w:val="24"/>
                <w:highlight w:val="none"/>
                <w:lang w:val="en-US" w:eastAsia="en-US" w:bidi="ar-SA"/>
              </w:rPr>
              <w:t>(2022年至今，以合同签订</w:t>
            </w:r>
            <w:r>
              <w:rPr>
                <w:rFonts w:hint="eastAsia" w:ascii="宋体" w:hAnsi="宋体" w:eastAsia="宋体" w:cs="宋体"/>
                <w:spacing w:val="-3"/>
                <w:sz w:val="24"/>
                <w:szCs w:val="24"/>
                <w:highlight w:val="none"/>
                <w:lang w:val="en-US" w:eastAsia="zh-CN" w:bidi="ar-SA"/>
              </w:rPr>
              <w:t>时</w:t>
            </w:r>
            <w:r>
              <w:rPr>
                <w:rFonts w:hint="eastAsia" w:ascii="宋体" w:hAnsi="宋体" w:eastAsia="宋体" w:cs="宋体"/>
                <w:spacing w:val="-3"/>
                <w:sz w:val="24"/>
                <w:szCs w:val="24"/>
                <w:highlight w:val="none"/>
                <w:lang w:val="en-US" w:eastAsia="en-US" w:bidi="ar-SA"/>
              </w:rPr>
              <w:t>间为准)供应商每提供一个</w:t>
            </w:r>
            <w:r>
              <w:rPr>
                <w:rFonts w:hint="eastAsia" w:cs="宋体"/>
                <w:spacing w:val="-3"/>
                <w:sz w:val="24"/>
                <w:szCs w:val="24"/>
                <w:highlight w:val="none"/>
                <w:lang w:val="en-US" w:eastAsia="zh-CN" w:bidi="ar-SA"/>
              </w:rPr>
              <w:t>成本监审（调查）类业</w:t>
            </w:r>
            <w:r>
              <w:rPr>
                <w:rFonts w:hint="eastAsia" w:ascii="宋体" w:hAnsi="宋体" w:eastAsia="宋体" w:cs="宋体"/>
                <w:spacing w:val="-3"/>
                <w:sz w:val="24"/>
                <w:szCs w:val="24"/>
                <w:highlight w:val="none"/>
                <w:lang w:val="en-US" w:eastAsia="zh-CN" w:bidi="ar-SA"/>
              </w:rPr>
              <w:t>绩</w:t>
            </w:r>
            <w:r>
              <w:rPr>
                <w:rFonts w:hint="eastAsia" w:ascii="宋体" w:hAnsi="宋体" w:eastAsia="宋体" w:cs="宋体"/>
                <w:spacing w:val="-3"/>
                <w:sz w:val="24"/>
                <w:szCs w:val="24"/>
                <w:highlight w:val="none"/>
                <w:lang w:val="en-US" w:eastAsia="en-US" w:bidi="ar-SA"/>
              </w:rPr>
              <w:t>得2分，此项最高得</w:t>
            </w:r>
            <w:r>
              <w:rPr>
                <w:rFonts w:hint="eastAsia" w:ascii="宋体" w:hAnsi="宋体" w:eastAsia="宋体" w:cs="宋体"/>
                <w:spacing w:val="-3"/>
                <w:sz w:val="24"/>
                <w:szCs w:val="24"/>
                <w:highlight w:val="none"/>
                <w:lang w:val="en-US" w:eastAsia="zh-CN" w:bidi="ar-SA"/>
              </w:rPr>
              <w:t>8</w:t>
            </w:r>
            <w:r>
              <w:rPr>
                <w:rFonts w:hint="eastAsia" w:ascii="宋体" w:hAnsi="宋体" w:eastAsia="宋体" w:cs="宋体"/>
                <w:spacing w:val="-3"/>
                <w:sz w:val="24"/>
                <w:szCs w:val="24"/>
                <w:highlight w:val="none"/>
                <w:lang w:val="en-US" w:eastAsia="en-US" w:bidi="ar-SA"/>
              </w:rPr>
              <w:t>分。</w:t>
            </w:r>
            <w:r>
              <w:rPr>
                <w:rFonts w:hint="eastAsia" w:cs="宋体"/>
                <w:spacing w:val="-3"/>
                <w:sz w:val="24"/>
                <w:szCs w:val="24"/>
                <w:highlight w:val="none"/>
                <w:lang w:val="en-US" w:eastAsia="zh-CN" w:bidi="ar-SA"/>
              </w:rPr>
              <w:t>注：</w:t>
            </w:r>
            <w:r>
              <w:rPr>
                <w:rFonts w:hint="eastAsia" w:ascii="宋体" w:hAnsi="宋体" w:eastAsia="宋体" w:cs="宋体"/>
                <w:spacing w:val="-3"/>
                <w:sz w:val="24"/>
                <w:szCs w:val="24"/>
                <w:highlight w:val="none"/>
                <w:lang w:val="en-US" w:eastAsia="en-US" w:bidi="ar-SA"/>
              </w:rPr>
              <w:t>提供</w:t>
            </w:r>
            <w:r>
              <w:rPr>
                <w:rFonts w:hint="eastAsia" w:cs="宋体"/>
                <w:spacing w:val="-3"/>
                <w:sz w:val="24"/>
                <w:szCs w:val="24"/>
                <w:highlight w:val="none"/>
                <w:lang w:val="en-US" w:eastAsia="zh-CN" w:bidi="ar-SA"/>
              </w:rPr>
              <w:t>调查报告或审计业务约定书</w:t>
            </w:r>
            <w:r>
              <w:rPr>
                <w:rFonts w:hint="eastAsia" w:ascii="宋体" w:hAnsi="宋体" w:eastAsia="宋体" w:cs="宋体"/>
                <w:spacing w:val="-3"/>
                <w:sz w:val="24"/>
                <w:szCs w:val="24"/>
                <w:highlight w:val="none"/>
                <w:lang w:val="en-US" w:eastAsia="en-US" w:bidi="ar-SA"/>
              </w:rPr>
              <w:t>的复印件加盖公章，不提供不得分。</w:t>
            </w:r>
          </w:p>
        </w:tc>
      </w:tr>
      <w:tr w14:paraId="254887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9"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4B0B36AC">
            <w:pPr>
              <w:jc w:val="center"/>
              <w:rPr>
                <w:rFonts w:ascii="宋体" w:hAnsi="宋体" w:eastAsia="宋体" w:cs="宋体"/>
                <w:spacing w:val="6"/>
                <w:sz w:val="24"/>
                <w:szCs w:val="24"/>
                <w:lang w:val="en-US" w:eastAsia="en-US" w:bidi="ar-SA"/>
              </w:rPr>
            </w:pPr>
          </w:p>
        </w:tc>
        <w:tc>
          <w:tcPr>
            <w:tcW w:w="1121" w:type="dxa"/>
            <w:tcBorders>
              <w:left w:val="single" w:color="auto" w:sz="4" w:space="0"/>
            </w:tcBorders>
            <w:shd w:val="clear" w:color="auto" w:fill="auto"/>
            <w:vAlign w:val="center"/>
          </w:tcPr>
          <w:p w14:paraId="5102BC0E">
            <w:pPr>
              <w:pStyle w:val="33"/>
              <w:keepNext w:val="0"/>
              <w:keepLines w:val="0"/>
              <w:pageBreakBefore w:val="0"/>
              <w:widowControl w:val="0"/>
              <w:kinsoku/>
              <w:wordWrap/>
              <w:overflowPunct/>
              <w:topLinePunct w:val="0"/>
              <w:autoSpaceDE w:val="0"/>
              <w:autoSpaceDN w:val="0"/>
              <w:bidi w:val="0"/>
              <w:adjustRightInd/>
              <w:snapToGrid/>
              <w:spacing w:before="88" w:line="220" w:lineRule="auto"/>
              <w:ind w:right="0" w:rightChars="0"/>
              <w:jc w:val="center"/>
              <w:textAlignment w:val="auto"/>
              <w:rPr>
                <w:rFonts w:ascii="宋体" w:hAnsi="宋体" w:eastAsia="宋体" w:cs="宋体"/>
                <w:spacing w:val="-3"/>
                <w:sz w:val="24"/>
                <w:szCs w:val="24"/>
                <w:highlight w:val="none"/>
                <w:lang w:val="en-US" w:eastAsia="en-US" w:bidi="ar-SA"/>
              </w:rPr>
            </w:pPr>
            <w:r>
              <w:rPr>
                <w:rFonts w:ascii="宋体" w:hAnsi="宋体" w:eastAsia="宋体" w:cs="宋体"/>
                <w:spacing w:val="-3"/>
                <w:sz w:val="24"/>
                <w:szCs w:val="24"/>
                <w:highlight w:val="none"/>
                <w:lang w:val="en-US" w:eastAsia="en-US" w:bidi="ar-SA"/>
              </w:rPr>
              <w:t>服务团队</w:t>
            </w:r>
          </w:p>
          <w:p w14:paraId="75097F09">
            <w:pPr>
              <w:pStyle w:val="33"/>
              <w:keepNext w:val="0"/>
              <w:keepLines w:val="0"/>
              <w:pageBreakBefore w:val="0"/>
              <w:widowControl w:val="0"/>
              <w:kinsoku/>
              <w:wordWrap/>
              <w:overflowPunct/>
              <w:topLinePunct w:val="0"/>
              <w:autoSpaceDE w:val="0"/>
              <w:autoSpaceDN w:val="0"/>
              <w:bidi w:val="0"/>
              <w:adjustRightInd/>
              <w:snapToGrid/>
              <w:spacing w:before="88" w:line="220" w:lineRule="auto"/>
              <w:ind w:right="0" w:rightChars="0"/>
              <w:jc w:val="center"/>
              <w:textAlignment w:val="auto"/>
              <w:rPr>
                <w:rFonts w:ascii="宋体" w:hAnsi="宋体" w:eastAsia="宋体" w:cs="宋体"/>
                <w:spacing w:val="-3"/>
                <w:sz w:val="24"/>
                <w:szCs w:val="24"/>
                <w:highlight w:val="none"/>
                <w:lang w:val="en-US" w:eastAsia="en-US" w:bidi="ar-SA"/>
              </w:rPr>
            </w:pPr>
            <w:r>
              <w:rPr>
                <w:rFonts w:ascii="宋体" w:hAnsi="宋体" w:eastAsia="宋体" w:cs="宋体"/>
                <w:spacing w:val="-3"/>
                <w:sz w:val="24"/>
                <w:szCs w:val="24"/>
                <w:highlight w:val="none"/>
                <w:lang w:val="en-US" w:eastAsia="en-US" w:bidi="ar-SA"/>
              </w:rPr>
              <w:t>(</w:t>
            </w:r>
            <w:r>
              <w:rPr>
                <w:rFonts w:hint="eastAsia" w:cs="宋体"/>
                <w:spacing w:val="-3"/>
                <w:sz w:val="24"/>
                <w:szCs w:val="24"/>
                <w:highlight w:val="none"/>
                <w:lang w:val="en-US" w:eastAsia="zh-CN" w:bidi="ar-SA"/>
              </w:rPr>
              <w:t>7</w:t>
            </w:r>
            <w:r>
              <w:rPr>
                <w:rFonts w:ascii="宋体" w:hAnsi="宋体" w:eastAsia="宋体" w:cs="宋体"/>
                <w:spacing w:val="-3"/>
                <w:sz w:val="24"/>
                <w:szCs w:val="24"/>
                <w:highlight w:val="none"/>
                <w:lang w:val="en-US" w:eastAsia="en-US" w:bidi="ar-SA"/>
              </w:rPr>
              <w:t>分)</w:t>
            </w:r>
          </w:p>
        </w:tc>
        <w:tc>
          <w:tcPr>
            <w:tcW w:w="7658" w:type="dxa"/>
            <w:shd w:val="clear" w:color="auto" w:fill="auto"/>
            <w:vAlign w:val="center"/>
          </w:tcPr>
          <w:p w14:paraId="75ED15C8">
            <w:pPr>
              <w:pStyle w:val="33"/>
              <w:keepNext w:val="0"/>
              <w:keepLines w:val="0"/>
              <w:pageBreakBefore w:val="0"/>
              <w:widowControl w:val="0"/>
              <w:kinsoku/>
              <w:wordWrap/>
              <w:overflowPunct/>
              <w:topLinePunct w:val="0"/>
              <w:autoSpaceDE w:val="0"/>
              <w:autoSpaceDN w:val="0"/>
              <w:bidi w:val="0"/>
              <w:adjustRightInd/>
              <w:snapToGrid/>
              <w:spacing w:line="220" w:lineRule="auto"/>
              <w:ind w:left="13" w:leftChars="0" w:right="0" w:rightChars="0"/>
              <w:jc w:val="both"/>
              <w:textAlignment w:val="auto"/>
              <w:rPr>
                <w:rFonts w:hint="eastAsia" w:cs="宋体"/>
                <w:spacing w:val="-3"/>
                <w:sz w:val="24"/>
                <w:szCs w:val="24"/>
                <w:highlight w:val="none"/>
                <w:lang w:val="en-US" w:eastAsia="zh-CN" w:bidi="ar-SA"/>
              </w:rPr>
            </w:pPr>
            <w:r>
              <w:rPr>
                <w:rFonts w:hint="eastAsia" w:cs="宋体"/>
                <w:spacing w:val="-3"/>
                <w:sz w:val="24"/>
                <w:szCs w:val="24"/>
                <w:highlight w:val="none"/>
                <w:lang w:val="en-US" w:eastAsia="zh-CN" w:bidi="ar-SA"/>
              </w:rPr>
              <w:t>1.</w:t>
            </w:r>
            <w:r>
              <w:rPr>
                <w:rFonts w:hint="eastAsia" w:ascii="宋体" w:hAnsi="宋体" w:eastAsia="宋体" w:cs="宋体"/>
                <w:spacing w:val="-3"/>
                <w:sz w:val="24"/>
                <w:szCs w:val="24"/>
                <w:highlight w:val="none"/>
                <w:lang w:val="en-US" w:eastAsia="en-US" w:bidi="ar-SA"/>
              </w:rPr>
              <w:t>拟派</w:t>
            </w:r>
            <w:r>
              <w:rPr>
                <w:rFonts w:hint="eastAsia" w:cs="宋体"/>
                <w:spacing w:val="-3"/>
                <w:sz w:val="24"/>
                <w:szCs w:val="24"/>
                <w:highlight w:val="none"/>
                <w:lang w:val="en-US" w:eastAsia="zh-CN" w:bidi="ar-SA"/>
              </w:rPr>
              <w:t>服务团队中配备2名</w:t>
            </w:r>
            <w:r>
              <w:rPr>
                <w:rFonts w:hint="eastAsia" w:ascii="宋体" w:hAnsi="宋体" w:eastAsia="宋体" w:cs="宋体"/>
                <w:spacing w:val="-3"/>
                <w:sz w:val="24"/>
                <w:szCs w:val="24"/>
                <w:highlight w:val="none"/>
                <w:lang w:val="en-US" w:eastAsia="en-US" w:bidi="ar-SA"/>
              </w:rPr>
              <w:t>注册会计师</w:t>
            </w:r>
            <w:r>
              <w:rPr>
                <w:rFonts w:hint="eastAsia" w:cs="宋体"/>
                <w:spacing w:val="-3"/>
                <w:sz w:val="24"/>
                <w:szCs w:val="24"/>
                <w:highlight w:val="none"/>
                <w:lang w:val="en-US" w:eastAsia="zh-CN" w:bidi="ar-SA"/>
              </w:rPr>
              <w:t>（项目负责人除外），每配备1名</w:t>
            </w:r>
            <w:r>
              <w:rPr>
                <w:rFonts w:hint="eastAsia" w:ascii="宋体" w:hAnsi="宋体" w:eastAsia="宋体" w:cs="宋体"/>
                <w:spacing w:val="-3"/>
                <w:sz w:val="24"/>
                <w:szCs w:val="24"/>
                <w:highlight w:val="none"/>
                <w:lang w:val="en-US" w:eastAsia="en-US" w:bidi="ar-SA"/>
              </w:rPr>
              <w:t>得</w:t>
            </w:r>
            <w:r>
              <w:rPr>
                <w:rFonts w:hint="eastAsia" w:cs="宋体"/>
                <w:spacing w:val="-3"/>
                <w:sz w:val="24"/>
                <w:szCs w:val="24"/>
                <w:highlight w:val="none"/>
                <w:lang w:val="en-US" w:eastAsia="zh-CN" w:bidi="ar-SA"/>
              </w:rPr>
              <w:t>2</w:t>
            </w:r>
            <w:r>
              <w:rPr>
                <w:rFonts w:hint="eastAsia" w:ascii="宋体" w:hAnsi="宋体" w:eastAsia="宋体" w:cs="宋体"/>
                <w:spacing w:val="-3"/>
                <w:sz w:val="24"/>
                <w:szCs w:val="24"/>
                <w:highlight w:val="none"/>
                <w:lang w:val="en-US" w:eastAsia="en-US" w:bidi="ar-SA"/>
              </w:rPr>
              <w:t>分</w:t>
            </w:r>
            <w:r>
              <w:rPr>
                <w:rFonts w:hint="eastAsia" w:cs="宋体"/>
                <w:spacing w:val="-3"/>
                <w:sz w:val="24"/>
                <w:szCs w:val="24"/>
                <w:highlight w:val="none"/>
                <w:lang w:val="en-US" w:eastAsia="zh-CN" w:bidi="ar-SA"/>
              </w:rPr>
              <w:t>，此项最高得4分。</w:t>
            </w:r>
          </w:p>
          <w:p w14:paraId="5FF151FC">
            <w:pPr>
              <w:pStyle w:val="33"/>
              <w:keepNext w:val="0"/>
              <w:keepLines w:val="0"/>
              <w:pageBreakBefore w:val="0"/>
              <w:widowControl w:val="0"/>
              <w:kinsoku/>
              <w:wordWrap/>
              <w:overflowPunct/>
              <w:topLinePunct w:val="0"/>
              <w:autoSpaceDE w:val="0"/>
              <w:autoSpaceDN w:val="0"/>
              <w:bidi w:val="0"/>
              <w:adjustRightInd/>
              <w:snapToGrid/>
              <w:spacing w:line="220" w:lineRule="auto"/>
              <w:ind w:left="13" w:leftChars="0" w:right="0" w:rightChars="0"/>
              <w:jc w:val="both"/>
              <w:textAlignment w:val="auto"/>
              <w:rPr>
                <w:rFonts w:hint="eastAsia" w:cs="宋体"/>
                <w:spacing w:val="-3"/>
                <w:sz w:val="24"/>
                <w:szCs w:val="24"/>
                <w:highlight w:val="none"/>
                <w:lang w:val="en-US" w:eastAsia="zh-CN" w:bidi="ar-SA"/>
              </w:rPr>
            </w:pPr>
            <w:r>
              <w:rPr>
                <w:rFonts w:hint="eastAsia" w:cs="宋体"/>
                <w:spacing w:val="-3"/>
                <w:sz w:val="24"/>
                <w:szCs w:val="24"/>
                <w:highlight w:val="none"/>
                <w:lang w:val="en-US" w:eastAsia="zh-CN" w:bidi="ar-SA"/>
              </w:rPr>
              <w:t>2.</w:t>
            </w:r>
            <w:r>
              <w:rPr>
                <w:rFonts w:hint="eastAsia" w:ascii="宋体" w:hAnsi="宋体" w:eastAsia="宋体" w:cs="宋体"/>
                <w:spacing w:val="-3"/>
                <w:sz w:val="24"/>
                <w:szCs w:val="24"/>
                <w:highlight w:val="none"/>
                <w:lang w:val="en-US" w:eastAsia="en-US" w:bidi="ar-SA"/>
              </w:rPr>
              <w:t>拟派</w:t>
            </w:r>
            <w:r>
              <w:rPr>
                <w:rFonts w:hint="eastAsia" w:cs="宋体"/>
                <w:spacing w:val="-3"/>
                <w:sz w:val="24"/>
                <w:szCs w:val="24"/>
                <w:highlight w:val="none"/>
                <w:lang w:val="en-US" w:eastAsia="zh-CN" w:bidi="ar-SA"/>
              </w:rPr>
              <w:t>服务团队中配备3名助理会计师的，每配备1名</w:t>
            </w:r>
            <w:r>
              <w:rPr>
                <w:rFonts w:hint="eastAsia" w:ascii="宋体" w:hAnsi="宋体" w:eastAsia="宋体" w:cs="宋体"/>
                <w:spacing w:val="-3"/>
                <w:sz w:val="24"/>
                <w:szCs w:val="24"/>
                <w:highlight w:val="none"/>
                <w:lang w:val="en-US" w:eastAsia="en-US" w:bidi="ar-SA"/>
              </w:rPr>
              <w:t>得</w:t>
            </w:r>
            <w:r>
              <w:rPr>
                <w:rFonts w:hint="eastAsia" w:cs="宋体"/>
                <w:spacing w:val="-3"/>
                <w:sz w:val="24"/>
                <w:szCs w:val="24"/>
                <w:highlight w:val="none"/>
                <w:lang w:val="en-US" w:eastAsia="zh-CN" w:bidi="ar-SA"/>
              </w:rPr>
              <w:t>1</w:t>
            </w:r>
            <w:r>
              <w:rPr>
                <w:rFonts w:hint="eastAsia" w:ascii="宋体" w:hAnsi="宋体" w:eastAsia="宋体" w:cs="宋体"/>
                <w:spacing w:val="-3"/>
                <w:sz w:val="24"/>
                <w:szCs w:val="24"/>
                <w:highlight w:val="none"/>
                <w:lang w:val="en-US" w:eastAsia="en-US" w:bidi="ar-SA"/>
              </w:rPr>
              <w:t>分</w:t>
            </w:r>
            <w:r>
              <w:rPr>
                <w:rFonts w:hint="eastAsia" w:cs="宋体"/>
                <w:spacing w:val="-3"/>
                <w:sz w:val="24"/>
                <w:szCs w:val="24"/>
                <w:highlight w:val="none"/>
                <w:lang w:val="en-US" w:eastAsia="zh-CN" w:bidi="ar-SA"/>
              </w:rPr>
              <w:t>，此项最高得3分。</w:t>
            </w:r>
          </w:p>
          <w:p w14:paraId="46A0AA58">
            <w:pPr>
              <w:pStyle w:val="33"/>
              <w:keepNext w:val="0"/>
              <w:keepLines w:val="0"/>
              <w:pageBreakBefore w:val="0"/>
              <w:widowControl w:val="0"/>
              <w:kinsoku/>
              <w:wordWrap/>
              <w:overflowPunct/>
              <w:topLinePunct w:val="0"/>
              <w:autoSpaceDE w:val="0"/>
              <w:autoSpaceDN w:val="0"/>
              <w:bidi w:val="0"/>
              <w:adjustRightInd/>
              <w:snapToGrid/>
              <w:spacing w:line="220" w:lineRule="auto"/>
              <w:ind w:left="13" w:leftChars="0" w:right="0" w:rightChars="0"/>
              <w:jc w:val="both"/>
              <w:textAlignment w:val="auto"/>
              <w:rPr>
                <w:rFonts w:ascii="宋体" w:hAnsi="宋体" w:eastAsia="宋体" w:cs="宋体"/>
                <w:spacing w:val="-3"/>
                <w:sz w:val="24"/>
                <w:szCs w:val="24"/>
                <w:highlight w:val="none"/>
                <w:lang w:val="en-US" w:eastAsia="en-US" w:bidi="ar-SA"/>
              </w:rPr>
            </w:pPr>
            <w:r>
              <w:rPr>
                <w:rFonts w:ascii="宋体" w:hAnsi="宋体" w:eastAsia="宋体" w:cs="宋体"/>
                <w:spacing w:val="-3"/>
                <w:sz w:val="24"/>
                <w:szCs w:val="24"/>
                <w:highlight w:val="none"/>
                <w:lang w:val="en-US" w:eastAsia="en-US" w:bidi="ar-SA"/>
              </w:rPr>
              <w:t>注：响应文件中需提供人员</w:t>
            </w:r>
            <w:r>
              <w:rPr>
                <w:rFonts w:hint="eastAsia" w:cs="宋体"/>
                <w:spacing w:val="-3"/>
                <w:sz w:val="24"/>
                <w:szCs w:val="24"/>
                <w:highlight w:val="none"/>
                <w:lang w:val="en-US" w:eastAsia="zh-CN" w:bidi="ar-SA"/>
              </w:rPr>
              <w:t>资格</w:t>
            </w:r>
            <w:r>
              <w:rPr>
                <w:rFonts w:ascii="宋体" w:hAnsi="宋体" w:eastAsia="宋体" w:cs="宋体"/>
                <w:spacing w:val="-3"/>
                <w:sz w:val="24"/>
                <w:szCs w:val="24"/>
                <w:highlight w:val="none"/>
                <w:lang w:val="en-US" w:eastAsia="en-US" w:bidi="ar-SA"/>
              </w:rPr>
              <w:t>证书</w:t>
            </w:r>
            <w:r>
              <w:rPr>
                <w:rFonts w:hint="eastAsia" w:cs="宋体"/>
                <w:spacing w:val="-3"/>
                <w:sz w:val="24"/>
                <w:szCs w:val="24"/>
                <w:highlight w:val="none"/>
                <w:lang w:val="en-US" w:eastAsia="zh-CN" w:bidi="ar-SA"/>
              </w:rPr>
              <w:t>及劳动合同</w:t>
            </w:r>
            <w:r>
              <w:rPr>
                <w:rFonts w:ascii="宋体" w:hAnsi="宋体" w:eastAsia="宋体" w:cs="宋体"/>
                <w:spacing w:val="-3"/>
                <w:sz w:val="24"/>
                <w:szCs w:val="24"/>
                <w:highlight w:val="none"/>
                <w:lang w:val="en-US" w:eastAsia="en-US" w:bidi="ar-SA"/>
              </w:rPr>
              <w:t>复印件并加盖公章</w:t>
            </w:r>
            <w:r>
              <w:rPr>
                <w:rFonts w:hint="eastAsia" w:ascii="宋体" w:hAnsi="宋体" w:eastAsia="宋体" w:cs="宋体"/>
                <w:spacing w:val="-3"/>
                <w:sz w:val="24"/>
                <w:szCs w:val="24"/>
                <w:highlight w:val="none"/>
                <w:lang w:val="en-US" w:eastAsia="en-US" w:bidi="ar-SA"/>
              </w:rPr>
              <w:t>，不提供不得分</w:t>
            </w:r>
            <w:r>
              <w:rPr>
                <w:rFonts w:ascii="宋体" w:hAnsi="宋体" w:eastAsia="宋体" w:cs="宋体"/>
                <w:spacing w:val="-3"/>
                <w:sz w:val="24"/>
                <w:szCs w:val="24"/>
                <w:highlight w:val="none"/>
                <w:lang w:val="en-US" w:eastAsia="en-US" w:bidi="ar-SA"/>
              </w:rPr>
              <w:t>。</w:t>
            </w:r>
          </w:p>
        </w:tc>
      </w:tr>
      <w:tr w14:paraId="32606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3" w:hRule="atLeast"/>
          <w:jc w:val="center"/>
        </w:trPr>
        <w:tc>
          <w:tcPr>
            <w:tcW w:w="1236" w:type="dxa"/>
            <w:tcBorders>
              <w:top w:val="single" w:color="auto" w:sz="4" w:space="0"/>
              <w:left w:val="single" w:color="auto" w:sz="4" w:space="0"/>
              <w:bottom w:val="single" w:color="auto" w:sz="4" w:space="0"/>
              <w:right w:val="single" w:color="auto" w:sz="4" w:space="0"/>
            </w:tcBorders>
            <w:vAlign w:val="center"/>
          </w:tcPr>
          <w:p w14:paraId="6A2D91B9">
            <w:pPr>
              <w:jc w:val="center"/>
              <w:rPr>
                <w:rFonts w:hint="eastAsia" w:ascii="宋体" w:hAnsi="宋体" w:eastAsia="宋体" w:cs="宋体"/>
                <w:spacing w:val="6"/>
                <w:sz w:val="24"/>
                <w:szCs w:val="24"/>
                <w:lang w:val="en-US" w:eastAsia="zh-CN" w:bidi="ar-SA"/>
              </w:rPr>
            </w:pPr>
            <w:r>
              <w:rPr>
                <w:rFonts w:hint="eastAsia" w:ascii="宋体" w:hAnsi="宋体" w:eastAsia="宋体" w:cs="宋体"/>
                <w:spacing w:val="6"/>
                <w:sz w:val="24"/>
                <w:szCs w:val="24"/>
                <w:lang w:val="en-US" w:eastAsia="en-US" w:bidi="ar-SA"/>
              </w:rPr>
              <w:t>投标响应</w:t>
            </w:r>
            <w:r>
              <w:rPr>
                <w:rFonts w:hint="eastAsia" w:cs="宋体"/>
                <w:spacing w:val="6"/>
                <w:sz w:val="24"/>
                <w:szCs w:val="24"/>
                <w:lang w:val="en-US" w:eastAsia="zh-CN" w:bidi="ar-SA"/>
              </w:rPr>
              <w:t>（10分）</w:t>
            </w:r>
          </w:p>
        </w:tc>
        <w:tc>
          <w:tcPr>
            <w:tcW w:w="1121" w:type="dxa"/>
            <w:tcBorders>
              <w:left w:val="single" w:color="auto" w:sz="4" w:space="0"/>
            </w:tcBorders>
            <w:shd w:val="clear" w:color="auto" w:fill="auto"/>
            <w:vAlign w:val="center"/>
          </w:tcPr>
          <w:p w14:paraId="64857BCE">
            <w:pPr>
              <w:pStyle w:val="33"/>
              <w:keepNext w:val="0"/>
              <w:keepLines w:val="0"/>
              <w:pageBreakBefore w:val="0"/>
              <w:widowControl w:val="0"/>
              <w:kinsoku/>
              <w:wordWrap/>
              <w:overflowPunct/>
              <w:topLinePunct w:val="0"/>
              <w:autoSpaceDE w:val="0"/>
              <w:autoSpaceDN w:val="0"/>
              <w:bidi w:val="0"/>
              <w:adjustRightInd/>
              <w:snapToGrid/>
              <w:spacing w:before="88" w:line="220" w:lineRule="auto"/>
              <w:ind w:right="0" w:rightChars="0"/>
              <w:jc w:val="center"/>
              <w:textAlignment w:val="auto"/>
              <w:rPr>
                <w:rFonts w:ascii="宋体" w:hAnsi="宋体" w:eastAsia="宋体" w:cs="宋体"/>
                <w:spacing w:val="-3"/>
                <w:sz w:val="24"/>
                <w:szCs w:val="24"/>
                <w:lang w:val="en-US" w:eastAsia="en-US" w:bidi="ar-SA"/>
              </w:rPr>
            </w:pPr>
            <w:r>
              <w:rPr>
                <w:rFonts w:ascii="宋体" w:hAnsi="宋体" w:eastAsia="宋体" w:cs="宋体"/>
                <w:spacing w:val="-3"/>
                <w:sz w:val="24"/>
                <w:szCs w:val="24"/>
                <w:lang w:val="en-US" w:eastAsia="en-US" w:bidi="ar-SA"/>
              </w:rPr>
              <w:t>投标响应得分</w:t>
            </w:r>
          </w:p>
          <w:p w14:paraId="0109EF7A">
            <w:pPr>
              <w:pStyle w:val="33"/>
              <w:keepNext w:val="0"/>
              <w:keepLines w:val="0"/>
              <w:pageBreakBefore w:val="0"/>
              <w:widowControl w:val="0"/>
              <w:kinsoku/>
              <w:wordWrap/>
              <w:overflowPunct/>
              <w:topLinePunct w:val="0"/>
              <w:autoSpaceDE w:val="0"/>
              <w:autoSpaceDN w:val="0"/>
              <w:bidi w:val="0"/>
              <w:adjustRightInd/>
              <w:snapToGrid/>
              <w:spacing w:before="88" w:line="220" w:lineRule="auto"/>
              <w:ind w:right="0" w:rightChars="0"/>
              <w:jc w:val="center"/>
              <w:textAlignment w:val="auto"/>
              <w:rPr>
                <w:rFonts w:ascii="宋体" w:hAnsi="宋体" w:eastAsia="宋体" w:cs="宋体"/>
                <w:spacing w:val="-3"/>
                <w:sz w:val="24"/>
                <w:szCs w:val="24"/>
                <w:lang w:val="en-US" w:eastAsia="en-US" w:bidi="ar-SA"/>
              </w:rPr>
            </w:pPr>
            <w:r>
              <w:rPr>
                <w:rFonts w:ascii="宋体" w:hAnsi="宋体" w:eastAsia="宋体" w:cs="宋体"/>
                <w:spacing w:val="-3"/>
                <w:sz w:val="24"/>
                <w:szCs w:val="24"/>
                <w:lang w:val="en-US" w:eastAsia="en-US" w:bidi="ar-SA"/>
              </w:rPr>
              <w:t>(10分)</w:t>
            </w:r>
          </w:p>
        </w:tc>
        <w:tc>
          <w:tcPr>
            <w:tcW w:w="7658" w:type="dxa"/>
            <w:shd w:val="clear" w:color="auto" w:fill="auto"/>
            <w:vAlign w:val="center"/>
          </w:tcPr>
          <w:p w14:paraId="4BDCCFEF">
            <w:pPr>
              <w:pStyle w:val="33"/>
              <w:keepNext w:val="0"/>
              <w:keepLines w:val="0"/>
              <w:pageBreakBefore w:val="0"/>
              <w:widowControl w:val="0"/>
              <w:kinsoku/>
              <w:wordWrap/>
              <w:overflowPunct/>
              <w:topLinePunct w:val="0"/>
              <w:autoSpaceDE w:val="0"/>
              <w:autoSpaceDN w:val="0"/>
              <w:bidi w:val="0"/>
              <w:adjustRightInd/>
              <w:snapToGrid/>
              <w:spacing w:before="74" w:line="218" w:lineRule="auto"/>
              <w:ind w:left="93" w:right="0"/>
              <w:jc w:val="both"/>
              <w:textAlignment w:val="auto"/>
              <w:rPr>
                <w:rFonts w:ascii="宋体" w:hAnsi="宋体" w:eastAsia="宋体" w:cs="宋体"/>
                <w:spacing w:val="-3"/>
                <w:sz w:val="24"/>
                <w:szCs w:val="24"/>
                <w:lang w:val="en-US" w:eastAsia="en-US" w:bidi="ar-SA"/>
              </w:rPr>
            </w:pPr>
            <w:r>
              <w:rPr>
                <w:rFonts w:ascii="宋体" w:hAnsi="宋体" w:eastAsia="宋体" w:cs="宋体"/>
                <w:spacing w:val="-3"/>
                <w:sz w:val="24"/>
                <w:szCs w:val="24"/>
                <w:lang w:val="en-US" w:eastAsia="en-US" w:bidi="ar-SA"/>
              </w:rPr>
              <w:t>投标响应得分=(评标基准价/投标响应)×价格分值【注：满足磋商文件要求且投标价格最低的投标响应为评标基准价。】最低 响应不是中标的唯一依据。因落实政府采购政策进行价格调整的，以调整后的价格计算评标基准价和投标响应。</w:t>
            </w:r>
          </w:p>
        </w:tc>
      </w:tr>
    </w:tbl>
    <w:p w14:paraId="3B49772A"/>
    <w:p w14:paraId="1EE4CE47">
      <w:pPr>
        <w:pStyle w:val="4"/>
        <w:keepNext w:val="0"/>
        <w:keepLines w:val="0"/>
        <w:pageBreakBefore w:val="0"/>
        <w:widowControl w:val="0"/>
        <w:numPr>
          <w:ilvl w:val="0"/>
          <w:numId w:val="13"/>
        </w:numPr>
        <w:tabs>
          <w:tab w:val="left" w:pos="778"/>
        </w:tabs>
        <w:kinsoku/>
        <w:wordWrap/>
        <w:overflowPunct/>
        <w:topLinePunct w:val="0"/>
        <w:autoSpaceDE w:val="0"/>
        <w:autoSpaceDN w:val="0"/>
        <w:bidi w:val="0"/>
        <w:adjustRightInd/>
        <w:snapToGrid/>
        <w:spacing w:before="0" w:after="0" w:line="360" w:lineRule="auto"/>
        <w:ind w:left="0" w:right="0" w:firstLine="518" w:firstLineChars="200"/>
        <w:jc w:val="left"/>
        <w:textAlignment w:val="auto"/>
        <w:rPr>
          <w:rFonts w:hint="eastAsia" w:ascii="宋体" w:hAnsi="宋体" w:eastAsia="宋体" w:cs="宋体"/>
          <w:color w:val="auto"/>
          <w:sz w:val="24"/>
          <w:szCs w:val="24"/>
          <w:highlight w:val="none"/>
        </w:rPr>
      </w:pPr>
      <w:bookmarkStart w:id="239" w:name="_Toc14286"/>
      <w:bookmarkStart w:id="240" w:name="_Toc4089"/>
      <w:bookmarkStart w:id="241" w:name="_Toc31132"/>
      <w:bookmarkStart w:id="242" w:name="_Toc17802"/>
      <w:bookmarkStart w:id="243" w:name="_Toc26442"/>
      <w:r>
        <w:rPr>
          <w:rFonts w:hint="eastAsia" w:ascii="宋体" w:hAnsi="宋体" w:eastAsia="宋体" w:cs="宋体"/>
          <w:color w:val="auto"/>
          <w:spacing w:val="9"/>
          <w:sz w:val="24"/>
          <w:szCs w:val="24"/>
          <w:highlight w:val="none"/>
        </w:rPr>
        <w:t>汇总、排序</w:t>
      </w:r>
      <w:bookmarkEnd w:id="239"/>
      <w:bookmarkEnd w:id="240"/>
      <w:bookmarkEnd w:id="241"/>
      <w:bookmarkEnd w:id="242"/>
      <w:bookmarkEnd w:id="243"/>
    </w:p>
    <w:p w14:paraId="2FD1C5F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磋商小组根据综合评分情况，按照评审得分由高到低顺序推荐3名以上成交候选供应商，并编写评审报告。符合《政府采购竞争性磋商采购方式管理暂行办法》相关规定的，可以推荐2家成交候选供应商。评审得分相同的，按照最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由低到高的顺序推荐。评审得分且最后</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相同的，按照技术指标优劣顺序推荐。</w:t>
      </w:r>
    </w:p>
    <w:p w14:paraId="3FD1F716">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eastAsia" w:ascii="宋体" w:hAnsi="宋体" w:eastAsia="宋体" w:cs="宋体"/>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2769DF6C">
      <w:pPr>
        <w:pStyle w:val="2"/>
        <w:rPr>
          <w:color w:val="auto"/>
          <w:highlight w:val="none"/>
        </w:rPr>
      </w:pPr>
      <w:bookmarkStart w:id="244" w:name="_Toc7827"/>
      <w:r>
        <w:rPr>
          <w:color w:val="auto"/>
          <w:highlight w:val="none"/>
        </w:rPr>
        <w:t>第六章 合同与验收</w:t>
      </w:r>
      <w:bookmarkEnd w:id="244"/>
    </w:p>
    <w:p w14:paraId="3EADD6D2">
      <w:pPr>
        <w:pStyle w:val="9"/>
        <w:ind w:left="0"/>
        <w:rPr>
          <w:b/>
          <w:color w:val="auto"/>
          <w:sz w:val="20"/>
          <w:highlight w:val="none"/>
        </w:rPr>
      </w:pPr>
    </w:p>
    <w:p w14:paraId="7A625C18">
      <w:pPr>
        <w:pStyle w:val="9"/>
        <w:spacing w:before="2"/>
        <w:ind w:left="0"/>
        <w:rPr>
          <w:b/>
          <w:color w:val="auto"/>
          <w:sz w:val="21"/>
          <w:highlight w:val="none"/>
        </w:rPr>
      </w:pPr>
    </w:p>
    <w:p w14:paraId="34D2A5AE">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bookmarkStart w:id="245" w:name="_Toc16750"/>
      <w:bookmarkStart w:id="246" w:name="_Toc4966"/>
      <w:bookmarkStart w:id="247" w:name="_Toc24388"/>
      <w:bookmarkStart w:id="248" w:name="_Toc4173"/>
      <w:bookmarkStart w:id="249" w:name="_Toc29724"/>
      <w:r>
        <w:rPr>
          <w:rFonts w:hint="eastAsia" w:ascii="宋体" w:hAnsi="宋体" w:eastAsia="宋体" w:cs="宋体"/>
          <w:color w:val="auto"/>
          <w:sz w:val="24"/>
          <w:szCs w:val="24"/>
          <w:highlight w:val="none"/>
        </w:rPr>
        <w:t>一、合同</w:t>
      </w:r>
      <w:bookmarkEnd w:id="245"/>
      <w:bookmarkEnd w:id="246"/>
      <w:bookmarkEnd w:id="247"/>
      <w:bookmarkEnd w:id="248"/>
      <w:bookmarkEnd w:id="249"/>
    </w:p>
    <w:p w14:paraId="1ACF3F4C">
      <w:pPr>
        <w:pStyle w:val="27"/>
        <w:keepNext w:val="0"/>
        <w:keepLines w:val="0"/>
        <w:pageBreakBefore w:val="0"/>
        <w:widowControl w:val="0"/>
        <w:numPr>
          <w:ilvl w:val="0"/>
          <w:numId w:val="14"/>
        </w:numPr>
        <w:tabs>
          <w:tab w:val="left" w:pos="778"/>
        </w:tabs>
        <w:kinsoku/>
        <w:wordWrap/>
        <w:overflowPunct/>
        <w:topLinePunct w:val="0"/>
        <w:autoSpaceDE w:val="0"/>
        <w:autoSpaceDN w:val="0"/>
        <w:bidi w:val="0"/>
        <w:adjustRightInd/>
        <w:snapToGrid/>
        <w:spacing w:before="0" w:after="0" w:line="360" w:lineRule="auto"/>
        <w:ind w:left="0" w:right="0" w:firstLine="514"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8"/>
          <w:sz w:val="24"/>
          <w:szCs w:val="24"/>
          <w:highlight w:val="none"/>
        </w:rPr>
        <w:t>合同要求</w:t>
      </w:r>
    </w:p>
    <w:p w14:paraId="3F5B884A">
      <w:pPr>
        <w:pStyle w:val="27"/>
        <w:keepNext w:val="0"/>
        <w:keepLines w:val="0"/>
        <w:pageBreakBefore w:val="0"/>
        <w:widowControl w:val="0"/>
        <w:numPr>
          <w:ilvl w:val="1"/>
          <w:numId w:val="1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采购人应当自中标（成交）通知书发出之日起</w:t>
      </w:r>
      <w:r>
        <w:rPr>
          <w:rFonts w:hint="eastAsia" w:ascii="宋体" w:hAnsi="宋体" w:eastAsia="宋体" w:cs="宋体"/>
          <w:color w:val="auto"/>
          <w:spacing w:val="-3"/>
          <w:sz w:val="24"/>
          <w:szCs w:val="24"/>
          <w:highlight w:val="none"/>
        </w:rPr>
        <w:t>30</w:t>
      </w:r>
      <w:r>
        <w:rPr>
          <w:rFonts w:hint="eastAsia" w:ascii="宋体" w:hAnsi="宋体" w:eastAsia="宋体" w:cs="宋体"/>
          <w:color w:val="auto"/>
          <w:sz w:val="24"/>
          <w:szCs w:val="24"/>
          <w:highlight w:val="none"/>
        </w:rPr>
        <w:t>日内，按照招标（磋商、谈判）文件或询价通知书和中标（成交）供</w:t>
      </w:r>
    </w:p>
    <w:p w14:paraId="46B8C79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应商投标（响应）文件的规定，与中标（成交）供应商签订书面合同。所签订的合同不得对招标（磋商、谈判）文件或询价通知书确定的事项作实质性修改。采购人、供应商不得提出任何不合理的要求作为签订合同的条件。</w:t>
      </w:r>
    </w:p>
    <w:p w14:paraId="774A5065">
      <w:pPr>
        <w:pStyle w:val="27"/>
        <w:keepNext w:val="0"/>
        <w:keepLines w:val="0"/>
        <w:pageBreakBefore w:val="0"/>
        <w:widowControl w:val="0"/>
        <w:numPr>
          <w:ilvl w:val="1"/>
          <w:numId w:val="1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政府采购合同应当包括采购人与中标（成交）供应商的名称和住所、标的、数量、质量、价款或者报酬、履行期限及</w:t>
      </w:r>
    </w:p>
    <w:p w14:paraId="49D71DD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地点和方式、验收要求、违约责任、解决争议的方法等内容。</w:t>
      </w:r>
    </w:p>
    <w:p w14:paraId="4C7C5344">
      <w:pPr>
        <w:pStyle w:val="27"/>
        <w:keepNext w:val="0"/>
        <w:keepLines w:val="0"/>
        <w:pageBreakBefore w:val="0"/>
        <w:widowControl w:val="0"/>
        <w:numPr>
          <w:ilvl w:val="1"/>
          <w:numId w:val="14"/>
        </w:numPr>
        <w:tabs>
          <w:tab w:val="left" w:pos="794"/>
        </w:tabs>
        <w:kinsoku/>
        <w:wordWrap/>
        <w:overflowPunct/>
        <w:topLinePunct w:val="0"/>
        <w:autoSpaceDE w:val="0"/>
        <w:autoSpaceDN w:val="0"/>
        <w:bidi w:val="0"/>
        <w:adjustRightInd/>
        <w:snapToGrid/>
        <w:spacing w:before="0" w:after="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采购人与中标（成交）</w:t>
      </w:r>
      <w:r>
        <w:rPr>
          <w:rFonts w:hint="eastAsia" w:ascii="宋体" w:hAnsi="宋体" w:eastAsia="宋体" w:cs="宋体"/>
          <w:color w:val="auto"/>
          <w:spacing w:val="-1"/>
          <w:sz w:val="24"/>
          <w:szCs w:val="24"/>
          <w:highlight w:val="none"/>
        </w:rPr>
        <w:t>供应商应当根据合同的约定依法履行合同义务。政府采购合同的履行、违约责任和解决争议的</w:t>
      </w:r>
      <w:r>
        <w:rPr>
          <w:rFonts w:hint="eastAsia" w:ascii="宋体" w:hAnsi="宋体" w:eastAsia="宋体" w:cs="宋体"/>
          <w:color w:val="auto"/>
          <w:sz w:val="24"/>
          <w:szCs w:val="24"/>
          <w:highlight w:val="none"/>
        </w:rPr>
        <w:t>方法等适用《中华人民共和国民法典》。政府采购合同的双方当事人不得擅自变更、中止或者终止合同。</w:t>
      </w:r>
    </w:p>
    <w:p w14:paraId="35799D40">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66128761">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77B3DD41">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64369F9A">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1EB5730E">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6F01A5BB">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13B34DF3">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63FB3DB9">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40BB5D18">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0577C972">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495A7F82">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5DE7030D">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4C29C511">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0C2BD107">
      <w:pPr>
        <w:pStyle w:val="27"/>
        <w:keepNext w:val="0"/>
        <w:keepLines w:val="0"/>
        <w:pageBreakBefore w:val="0"/>
        <w:widowControl w:val="0"/>
        <w:numPr>
          <w:ilvl w:val="0"/>
          <w:numId w:val="0"/>
        </w:numPr>
        <w:tabs>
          <w:tab w:val="left" w:pos="794"/>
        </w:tabs>
        <w:kinsoku/>
        <w:wordWrap/>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color w:val="auto"/>
          <w:sz w:val="24"/>
          <w:szCs w:val="24"/>
          <w:highlight w:val="none"/>
        </w:rPr>
      </w:pPr>
    </w:p>
    <w:p w14:paraId="326F94C6">
      <w:pPr>
        <w:pStyle w:val="4"/>
        <w:keepNext w:val="0"/>
        <w:keepLines w:val="0"/>
        <w:pageBreakBefore w:val="0"/>
        <w:widowControl w:val="0"/>
        <w:numPr>
          <w:ilvl w:val="0"/>
          <w:numId w:val="14"/>
        </w:numPr>
        <w:tabs>
          <w:tab w:val="left" w:pos="778"/>
        </w:tabs>
        <w:kinsoku/>
        <w:wordWrap/>
        <w:overflowPunct/>
        <w:topLinePunct w:val="0"/>
        <w:autoSpaceDE w:val="0"/>
        <w:autoSpaceDN w:val="0"/>
        <w:bidi w:val="0"/>
        <w:adjustRightInd/>
        <w:snapToGrid/>
        <w:spacing w:before="0" w:after="0" w:line="360" w:lineRule="auto"/>
        <w:ind w:left="0" w:right="0" w:firstLine="522" w:firstLineChars="200"/>
        <w:jc w:val="left"/>
        <w:textAlignment w:val="auto"/>
        <w:rPr>
          <w:rFonts w:hint="eastAsia" w:ascii="宋体" w:hAnsi="宋体" w:eastAsia="宋体" w:cs="宋体"/>
          <w:color w:val="auto"/>
          <w:sz w:val="24"/>
          <w:szCs w:val="24"/>
          <w:highlight w:val="none"/>
        </w:rPr>
      </w:pPr>
      <w:bookmarkStart w:id="250" w:name="_Toc10570"/>
      <w:bookmarkStart w:id="251" w:name="_Toc16964"/>
      <w:bookmarkStart w:id="252" w:name="_Toc27396"/>
      <w:bookmarkStart w:id="253" w:name="_Toc12740"/>
      <w:bookmarkStart w:id="254" w:name="_Toc6282"/>
      <w:r>
        <w:rPr>
          <w:rFonts w:hint="eastAsia" w:ascii="宋体" w:hAnsi="宋体" w:eastAsia="宋体" w:cs="宋体"/>
          <w:color w:val="auto"/>
          <w:spacing w:val="10"/>
          <w:sz w:val="24"/>
          <w:szCs w:val="24"/>
          <w:highlight w:val="none"/>
        </w:rPr>
        <w:t>合同格式及内容</w:t>
      </w:r>
      <w:bookmarkEnd w:id="250"/>
      <w:bookmarkEnd w:id="251"/>
      <w:bookmarkEnd w:id="252"/>
      <w:bookmarkEnd w:id="253"/>
      <w:bookmarkEnd w:id="254"/>
    </w:p>
    <w:p w14:paraId="3FCB5365">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p>
    <w:p w14:paraId="5CEAA040">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center"/>
        <w:textAlignment w:val="auto"/>
        <w:rPr>
          <w:rFonts w:hint="eastAsia" w:ascii="宋体" w:hAnsi="宋体" w:eastAsia="宋体" w:cs="宋体"/>
          <w:color w:val="auto"/>
          <w:sz w:val="24"/>
          <w:szCs w:val="24"/>
          <w:highlight w:val="none"/>
        </w:rPr>
      </w:pPr>
      <w:bookmarkStart w:id="255" w:name="_Toc28477"/>
      <w:bookmarkStart w:id="256" w:name="_Toc32067"/>
      <w:bookmarkStart w:id="257" w:name="_Toc22900"/>
      <w:bookmarkStart w:id="258" w:name="_Toc2168"/>
      <w:bookmarkStart w:id="259" w:name="_Toc4409"/>
      <w:r>
        <w:rPr>
          <w:rFonts w:hint="eastAsia" w:ascii="宋体" w:hAnsi="宋体" w:eastAsia="宋体" w:cs="宋体"/>
          <w:color w:val="auto"/>
          <w:sz w:val="24"/>
          <w:szCs w:val="24"/>
          <w:highlight w:val="none"/>
        </w:rPr>
        <w:t>政府采购合同</w:t>
      </w:r>
      <w:bookmarkEnd w:id="255"/>
      <w:bookmarkEnd w:id="256"/>
      <w:bookmarkEnd w:id="257"/>
      <w:bookmarkEnd w:id="258"/>
      <w:bookmarkEnd w:id="259"/>
    </w:p>
    <w:p w14:paraId="665E0C3F">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p>
    <w:p w14:paraId="66AA8F5D">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（服务类合同参考文本）</w:t>
      </w:r>
    </w:p>
    <w:p w14:paraId="232CEA8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b/>
          <w:color w:val="auto"/>
          <w:sz w:val="24"/>
          <w:szCs w:val="24"/>
          <w:highlight w:val="none"/>
        </w:rPr>
      </w:pPr>
    </w:p>
    <w:p w14:paraId="4CD96F6C">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bookmarkStart w:id="260" w:name="_Toc1138"/>
      <w:bookmarkStart w:id="261" w:name="_Toc1308"/>
      <w:bookmarkStart w:id="262" w:name="_Toc1380"/>
      <w:bookmarkStart w:id="263" w:name="_Toc3603"/>
      <w:bookmarkStart w:id="264" w:name="_Toc22618"/>
      <w:r>
        <w:rPr>
          <w:rFonts w:hint="eastAsia" w:ascii="宋体" w:hAnsi="宋体" w:eastAsia="宋体" w:cs="宋体"/>
          <w:color w:val="auto"/>
          <w:sz w:val="24"/>
          <w:szCs w:val="24"/>
          <w:highlight w:val="none"/>
        </w:rPr>
        <w:t>合同编号：</w:t>
      </w:r>
      <w:bookmarkEnd w:id="260"/>
      <w:bookmarkEnd w:id="261"/>
      <w:bookmarkEnd w:id="262"/>
      <w:bookmarkEnd w:id="263"/>
      <w:bookmarkEnd w:id="264"/>
    </w:p>
    <w:p w14:paraId="552BF9A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5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w w:val="95"/>
          <w:sz w:val="24"/>
          <w:szCs w:val="24"/>
          <w:highlight w:val="none"/>
        </w:rPr>
        <w:t>甲方：***（填写采购单位名称</w:t>
      </w:r>
      <w:r>
        <w:rPr>
          <w:rFonts w:hint="eastAsia" w:ascii="宋体" w:hAnsi="宋体" w:eastAsia="宋体" w:cs="宋体"/>
          <w:color w:val="auto"/>
          <w:spacing w:val="-18"/>
          <w:w w:val="95"/>
          <w:sz w:val="24"/>
          <w:szCs w:val="24"/>
          <w:highlight w:val="none"/>
        </w:rPr>
        <w:t xml:space="preserve">） </w:t>
      </w:r>
      <w:r>
        <w:rPr>
          <w:rFonts w:hint="eastAsia" w:ascii="宋体" w:hAnsi="宋体" w:eastAsia="宋体" w:cs="宋体"/>
          <w:color w:val="auto"/>
          <w:sz w:val="24"/>
          <w:szCs w:val="24"/>
          <w:highlight w:val="none"/>
        </w:rPr>
        <w:t>地址：***（填写详细地址）</w:t>
      </w:r>
    </w:p>
    <w:p w14:paraId="1470216F">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5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w w:val="95"/>
          <w:sz w:val="24"/>
          <w:szCs w:val="24"/>
          <w:highlight w:val="none"/>
        </w:rPr>
        <w:t>乙方：***（</w:t>
      </w:r>
      <w:r>
        <w:rPr>
          <w:rFonts w:hint="eastAsia" w:ascii="宋体" w:hAnsi="宋体" w:eastAsia="宋体" w:cs="宋体"/>
          <w:color w:val="auto"/>
          <w:spacing w:val="-2"/>
          <w:w w:val="95"/>
          <w:sz w:val="24"/>
          <w:szCs w:val="24"/>
          <w:highlight w:val="none"/>
        </w:rPr>
        <w:t>填写中标、成交供应商名称</w:t>
      </w:r>
      <w:r>
        <w:rPr>
          <w:rFonts w:hint="eastAsia" w:ascii="宋体" w:hAnsi="宋体" w:eastAsia="宋体" w:cs="宋体"/>
          <w:color w:val="auto"/>
          <w:sz w:val="24"/>
          <w:szCs w:val="24"/>
          <w:highlight w:val="none"/>
        </w:rPr>
        <w:t>地址：***（填写详细地址）</w:t>
      </w:r>
    </w:p>
    <w:p w14:paraId="5068B5FF">
      <w:pPr>
        <w:pStyle w:val="9"/>
        <w:keepNext w:val="0"/>
        <w:keepLines w:val="0"/>
        <w:pageBreakBefore w:val="0"/>
        <w:widowControl w:val="0"/>
        <w:tabs>
          <w:tab w:val="left" w:pos="3370"/>
          <w:tab w:val="left" w:pos="6251"/>
        </w:tabs>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甲乙双方根据《中华人民共和国政府采购法》《中华人民共和国政府采购法实施条例》《中华人民共和国民法典》等相</w:t>
      </w:r>
      <w:r>
        <w:rPr>
          <w:rFonts w:hint="eastAsia" w:ascii="宋体" w:hAnsi="宋体" w:eastAsia="宋体" w:cs="宋体"/>
          <w:color w:val="auto"/>
          <w:spacing w:val="-18"/>
          <w:sz w:val="24"/>
          <w:szCs w:val="24"/>
          <w:highlight w:val="none"/>
        </w:rPr>
        <w:t>关</w:t>
      </w:r>
      <w:r>
        <w:rPr>
          <w:rFonts w:hint="eastAsia" w:ascii="宋体" w:hAnsi="宋体" w:eastAsia="宋体" w:cs="宋体"/>
          <w:color w:val="auto"/>
          <w:sz w:val="24"/>
          <w:szCs w:val="24"/>
          <w:highlight w:val="none"/>
        </w:rPr>
        <w:t>法律法规、规范性文件以及</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项目（填写项目名称）</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（填写政府采购项目编号）的中标（成交）结果、</w:t>
      </w:r>
      <w:r>
        <w:rPr>
          <w:rFonts w:hint="eastAsia" w:ascii="宋体" w:hAnsi="宋体" w:eastAsia="宋体" w:cs="宋体"/>
          <w:color w:val="auto"/>
          <w:spacing w:val="-18"/>
          <w:sz w:val="24"/>
          <w:szCs w:val="24"/>
          <w:highlight w:val="none"/>
        </w:rPr>
        <w:t>招</w:t>
      </w:r>
      <w:r>
        <w:rPr>
          <w:rFonts w:hint="eastAsia" w:ascii="宋体" w:hAnsi="宋体" w:eastAsia="宋体" w:cs="宋体"/>
          <w:color w:val="auto"/>
          <w:sz w:val="24"/>
          <w:szCs w:val="24"/>
          <w:highlight w:val="none"/>
        </w:rPr>
        <w:t>标（磋商、谈判）文件、投标（响应）文件等文件的相关内容，经平等自愿协商一致，就如下合同条款达成一致意见。</w:t>
      </w:r>
    </w:p>
    <w:p w14:paraId="0F17A1BD">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一、乙方向甲方提供的服务内容</w:t>
      </w:r>
    </w:p>
    <w:p w14:paraId="097257F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（一）根据招标（磋商、谈判）文件及中标（成交）结果公告，乙方向甲方提供的服务、货物（如有）内容如下：</w:t>
      </w:r>
    </w:p>
    <w:p w14:paraId="610702A1">
      <w:pPr>
        <w:pStyle w:val="9"/>
        <w:keepNext w:val="0"/>
        <w:keepLines w:val="0"/>
        <w:pageBreakBefore w:val="0"/>
        <w:widowControl w:val="0"/>
        <w:tabs>
          <w:tab w:val="left" w:pos="4907"/>
        </w:tabs>
        <w:kinsoku/>
        <w:wordWrap/>
        <w:overflowPunct/>
        <w:topLinePunct w:val="0"/>
        <w:autoSpaceDE w:val="0"/>
        <w:autoSpaceDN w:val="0"/>
        <w:bidi w:val="0"/>
        <w:adjustRightInd/>
        <w:snapToGrid/>
        <w:spacing w:before="0" w:line="360" w:lineRule="auto"/>
        <w:ind w:left="0" w:right="0" w:firstLine="484"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w w:val="101"/>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w:t>
      </w:r>
    </w:p>
    <w:p w14:paraId="65DB913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（二）服务项目名称、服务具体内容、服务方式、服务要求、服务成果及与之相关的货物等详细内容，见合同附件—服务清单。</w:t>
      </w:r>
    </w:p>
    <w:p w14:paraId="4E80039B">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二、乙方服务成果的交付时间、地点</w:t>
      </w:r>
    </w:p>
    <w:p w14:paraId="29D328A3">
      <w:pPr>
        <w:pStyle w:val="9"/>
        <w:keepNext w:val="0"/>
        <w:keepLines w:val="0"/>
        <w:pageBreakBefore w:val="0"/>
        <w:widowControl w:val="0"/>
        <w:tabs>
          <w:tab w:val="left" w:pos="3319"/>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（一）服务期限：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605CA68A">
      <w:pPr>
        <w:pStyle w:val="9"/>
        <w:keepNext w:val="0"/>
        <w:keepLines w:val="0"/>
        <w:pageBreakBefore w:val="0"/>
        <w:widowControl w:val="0"/>
        <w:tabs>
          <w:tab w:val="left" w:pos="6008"/>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（二）服务成果的交付时间和交付要求（如有）：</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1F53A4A5">
      <w:pPr>
        <w:pStyle w:val="9"/>
        <w:keepNext w:val="0"/>
        <w:keepLines w:val="0"/>
        <w:pageBreakBefore w:val="0"/>
        <w:widowControl w:val="0"/>
        <w:tabs>
          <w:tab w:val="left" w:pos="3274"/>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（三）服务地点：</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（填写详细地址）</w:t>
      </w:r>
    </w:p>
    <w:p w14:paraId="7A265B93">
      <w:pPr>
        <w:pStyle w:val="9"/>
        <w:keepNext w:val="0"/>
        <w:keepLines w:val="0"/>
        <w:pageBreakBefore w:val="0"/>
        <w:widowControl w:val="0"/>
        <w:tabs>
          <w:tab w:val="left" w:pos="4235"/>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（四）乙方代表及联系电话：</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（填写姓名和联系电话）</w:t>
      </w:r>
    </w:p>
    <w:p w14:paraId="6EB4FA29">
      <w:pPr>
        <w:pStyle w:val="9"/>
        <w:keepNext w:val="0"/>
        <w:keepLines w:val="0"/>
        <w:pageBreakBefore w:val="0"/>
        <w:widowControl w:val="0"/>
        <w:tabs>
          <w:tab w:val="left" w:pos="4235"/>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（五）甲方代表及联系电话：</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（填写姓名和联系电话）</w:t>
      </w:r>
    </w:p>
    <w:p w14:paraId="42891C0C">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注：服务成果分阶段交付的，应分别列明各阶段的交付时间、交付内容。</w:t>
      </w:r>
    </w:p>
    <w:p w14:paraId="5ACED32A">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三、乙方提供服务成果的质量</w:t>
      </w:r>
    </w:p>
    <w:p w14:paraId="0D53CA9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（一）乙方提供的服务应同时满足：1.符合国家法律法规和规范性文件对服务质量的要求；2.符合甲方招标（磋商、谈判）文件对服务的质量要求；3.符合乙方在投标（响应）</w:t>
      </w:r>
      <w:r>
        <w:rPr>
          <w:rFonts w:hint="eastAsia" w:ascii="宋体" w:hAnsi="宋体" w:eastAsia="宋体" w:cs="宋体"/>
          <w:color w:val="auto"/>
          <w:spacing w:val="-1"/>
          <w:sz w:val="24"/>
          <w:szCs w:val="24"/>
          <w:highlight w:val="none"/>
        </w:rPr>
        <w:t>文件中或磋商、谈判过程中对服务质量作出的书面承诺、声明或保</w:t>
      </w:r>
      <w:r>
        <w:rPr>
          <w:rFonts w:hint="eastAsia" w:ascii="宋体" w:hAnsi="宋体" w:eastAsia="宋体" w:cs="宋体"/>
          <w:color w:val="auto"/>
          <w:sz w:val="24"/>
          <w:szCs w:val="24"/>
          <w:highlight w:val="none"/>
        </w:rPr>
        <w:t>证。上述质量要求作为甲方对乙方服务质量的验收依据。</w:t>
      </w:r>
    </w:p>
    <w:p w14:paraId="0459BB7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（二）乙方应根据国家法律法规和规范性文件的规定、招标（磋商、谈判）文件的相关要求、投标（响应）</w:t>
      </w:r>
      <w:r>
        <w:rPr>
          <w:rFonts w:hint="eastAsia" w:ascii="宋体" w:hAnsi="宋体" w:eastAsia="宋体" w:cs="宋体"/>
          <w:color w:val="auto"/>
          <w:spacing w:val="-4"/>
          <w:sz w:val="24"/>
          <w:szCs w:val="24"/>
          <w:highlight w:val="none"/>
        </w:rPr>
        <w:t>文件及乙方承</w:t>
      </w:r>
      <w:r>
        <w:rPr>
          <w:rFonts w:hint="eastAsia" w:ascii="宋体" w:hAnsi="宋体" w:eastAsia="宋体" w:cs="宋体"/>
          <w:color w:val="auto"/>
          <w:sz w:val="24"/>
          <w:szCs w:val="24"/>
          <w:highlight w:val="none"/>
        </w:rPr>
        <w:t>诺、声明或保证，向甲方提供相应的服务质量证明文件。</w:t>
      </w:r>
    </w:p>
    <w:p w14:paraId="2B335B05">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四、乙方服务成果的交付方式及载体</w:t>
      </w:r>
    </w:p>
    <w:p w14:paraId="0932BB9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乙方交付服务成果方式及载体应符合国家法律法规和规范性文件的要求，并符合甲方招标（磋商、谈判）文件的要求、乙方在投标（响应）文件中对服务成果交付方式及载体作出的承诺。</w:t>
      </w:r>
    </w:p>
    <w:p w14:paraId="6EB0CBD6">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五、甲方对乙方服务的监督</w:t>
      </w:r>
    </w:p>
    <w:p w14:paraId="0F86FB7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对乙方提供的服务有权进行监督，当乙方服务质量、服务内容不符合约定时，甲方有权要求乙方及时进行整改，对乙方拒不改正或整改不到位的，甲方有权随时解除合同，并根据具体情况扣除部分或全部服务费用。</w:t>
      </w:r>
    </w:p>
    <w:p w14:paraId="7A4D94E6">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六、合同金额</w:t>
      </w:r>
    </w:p>
    <w:p w14:paraId="5D3A7D5F">
      <w:pPr>
        <w:pStyle w:val="9"/>
        <w:keepNext w:val="0"/>
        <w:keepLines w:val="0"/>
        <w:pageBreakBefore w:val="0"/>
        <w:widowControl w:val="0"/>
        <w:tabs>
          <w:tab w:val="left" w:pos="6827"/>
          <w:tab w:val="left" w:pos="8748"/>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pacing w:val="-18"/>
          <w:sz w:val="24"/>
          <w:szCs w:val="24"/>
          <w:highlight w:val="none"/>
        </w:rPr>
      </w:pPr>
      <w:r>
        <w:rPr>
          <w:rFonts w:hint="eastAsia" w:ascii="宋体" w:hAnsi="宋体" w:eastAsia="宋体" w:cs="宋体"/>
          <w:color w:val="auto"/>
          <w:sz w:val="24"/>
          <w:szCs w:val="24"/>
          <w:highlight w:val="none"/>
        </w:rPr>
        <w:t>在乙方提供完全符合合同要求的服务的前提下，本合同总金额为</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元（小写）</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（大写）</w:t>
      </w:r>
      <w:r>
        <w:rPr>
          <w:rFonts w:hint="eastAsia" w:ascii="宋体" w:hAnsi="宋体" w:eastAsia="宋体" w:cs="宋体"/>
          <w:color w:val="auto"/>
          <w:spacing w:val="-18"/>
          <w:sz w:val="24"/>
          <w:szCs w:val="24"/>
          <w:highlight w:val="none"/>
        </w:rPr>
        <w:t>。</w:t>
      </w:r>
    </w:p>
    <w:p w14:paraId="34F40AB0">
      <w:pPr>
        <w:pStyle w:val="9"/>
        <w:keepNext w:val="0"/>
        <w:keepLines w:val="0"/>
        <w:pageBreakBefore w:val="0"/>
        <w:widowControl w:val="0"/>
        <w:tabs>
          <w:tab w:val="left" w:pos="6827"/>
          <w:tab w:val="left" w:pos="8748"/>
        </w:tabs>
        <w:kinsoku/>
        <w:wordWrap/>
        <w:overflowPunct/>
        <w:topLinePunct w:val="0"/>
        <w:autoSpaceDE w:val="0"/>
        <w:autoSpaceDN w:val="0"/>
        <w:bidi w:val="0"/>
        <w:adjustRightInd/>
        <w:snapToGrid/>
        <w:spacing w:before="0" w:line="360" w:lineRule="auto"/>
        <w:ind w:left="0" w:right="0" w:firstLine="53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12"/>
          <w:sz w:val="24"/>
          <w:szCs w:val="24"/>
          <w:highlight w:val="none"/>
        </w:rPr>
        <w:t>七、付款时间及条</w:t>
      </w:r>
      <w:r>
        <w:rPr>
          <w:rFonts w:hint="eastAsia" w:ascii="宋体" w:hAnsi="宋体" w:eastAsia="宋体" w:cs="宋体"/>
          <w:b/>
          <w:color w:val="auto"/>
          <w:sz w:val="24"/>
          <w:szCs w:val="24"/>
          <w:highlight w:val="none"/>
        </w:rPr>
        <w:t>件</w:t>
      </w:r>
    </w:p>
    <w:p w14:paraId="21FFD633">
      <w:pPr>
        <w:pStyle w:val="9"/>
        <w:keepNext w:val="0"/>
        <w:keepLines w:val="0"/>
        <w:pageBreakBefore w:val="0"/>
        <w:widowControl w:val="0"/>
        <w:tabs>
          <w:tab w:val="left" w:pos="3031"/>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（一）付款时间：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1AFC02BB">
      <w:pPr>
        <w:pStyle w:val="9"/>
        <w:keepNext w:val="0"/>
        <w:keepLines w:val="0"/>
        <w:pageBreakBefore w:val="0"/>
        <w:widowControl w:val="0"/>
        <w:tabs>
          <w:tab w:val="left" w:pos="3031"/>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（二）付款条件：</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134B5F7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（三）乙方账户信息</w:t>
      </w:r>
    </w:p>
    <w:p w14:paraId="54803AC8">
      <w:pPr>
        <w:pStyle w:val="9"/>
        <w:keepNext w:val="0"/>
        <w:keepLines w:val="0"/>
        <w:pageBreakBefore w:val="0"/>
        <w:widowControl w:val="0"/>
        <w:tabs>
          <w:tab w:val="left" w:pos="2839"/>
        </w:tabs>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银行账号：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p>
    <w:p w14:paraId="5C5EE850">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八、知识产权</w:t>
      </w:r>
    </w:p>
    <w:p w14:paraId="65246FC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乙方应保证其提供的服务及服务成果的全部及部分，均不存在侵犯第三方知识产权的情形，其服务成果的所有权由甲方享有。否则，乙方应向甲方承担违约责任及赔偿由此给甲方造成的名誉及经济损失。</w:t>
      </w:r>
    </w:p>
    <w:p w14:paraId="5A28EB81">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九、违约条款</w:t>
      </w:r>
    </w:p>
    <w:p w14:paraId="4361FED5">
      <w:pPr>
        <w:pStyle w:val="9"/>
        <w:keepNext w:val="0"/>
        <w:keepLines w:val="0"/>
        <w:pageBreakBefore w:val="0"/>
        <w:widowControl w:val="0"/>
        <w:tabs>
          <w:tab w:val="left" w:pos="2410"/>
          <w:tab w:val="left" w:pos="8748"/>
          <w:tab w:val="left" w:pos="9900"/>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（一）甲方没有正当理由逾期支付合同款项的，每延期一日，甲方应按照逾期支付金额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承担违</w:t>
      </w:r>
      <w:r>
        <w:rPr>
          <w:rFonts w:hint="eastAsia" w:ascii="宋体" w:hAnsi="宋体" w:eastAsia="宋体" w:cs="宋体"/>
          <w:color w:val="auto"/>
          <w:spacing w:val="-18"/>
          <w:sz w:val="24"/>
          <w:szCs w:val="24"/>
          <w:highlight w:val="none"/>
        </w:rPr>
        <w:t>约</w:t>
      </w:r>
      <w:r>
        <w:rPr>
          <w:rFonts w:hint="eastAsia" w:ascii="宋体" w:hAnsi="宋体" w:eastAsia="宋体" w:cs="宋体"/>
          <w:color w:val="auto"/>
          <w:sz w:val="24"/>
          <w:szCs w:val="24"/>
          <w:highlight w:val="none"/>
        </w:rPr>
        <w:t>责任。延期达到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日，乙方有权解除合同，并要求甲方赔偿由此造成的经济损失。</w:t>
      </w:r>
    </w:p>
    <w:p w14:paraId="1C6C7E8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（二）甲方存在其他违反本合同的行为，应承担相应的违约责任（注：可以根据情况进行细化）；违约金不足以赔偿乙方损失的，乙方有权要求甲方赔偿由此造成的经济损失。</w:t>
      </w:r>
    </w:p>
    <w:p w14:paraId="217AEFD0">
      <w:pPr>
        <w:pStyle w:val="9"/>
        <w:keepNext w:val="0"/>
        <w:keepLines w:val="0"/>
        <w:pageBreakBefore w:val="0"/>
        <w:widowControl w:val="0"/>
        <w:tabs>
          <w:tab w:val="left" w:pos="7596"/>
          <w:tab w:val="left" w:pos="10713"/>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（三）乙方逾期提供服务成果的，每延期一日，乙方应按照合同总金额的</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承担违约责任。延期达到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日，甲方有权解除合同，拒付延期部分的相应服务款项，并要求乙方赔偿甲方的经济损失</w:t>
      </w:r>
      <w:r>
        <w:rPr>
          <w:rFonts w:hint="eastAsia" w:ascii="宋体" w:hAnsi="宋体" w:eastAsia="宋体" w:cs="宋体"/>
          <w:color w:val="auto"/>
          <w:spacing w:val="-15"/>
          <w:sz w:val="24"/>
          <w:szCs w:val="24"/>
          <w:highlight w:val="none"/>
        </w:rPr>
        <w:t xml:space="preserve"> </w:t>
      </w:r>
      <w:r>
        <w:rPr>
          <w:rFonts w:hint="eastAsia" w:ascii="宋体" w:hAnsi="宋体" w:eastAsia="宋体" w:cs="宋体"/>
          <w:color w:val="auto"/>
          <w:sz w:val="24"/>
          <w:szCs w:val="24"/>
          <w:highlight w:val="none"/>
        </w:rPr>
        <w:t>。</w:t>
      </w:r>
    </w:p>
    <w:p w14:paraId="34F246D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（四）乙方交付的服务不符合质量要求，或其服务成果存在侵权行为的，甲方有权解除合同，并要求乙方支付合同总金额</w:t>
      </w:r>
      <w:r>
        <w:rPr>
          <w:rFonts w:hint="eastAsia" w:ascii="宋体" w:hAnsi="宋体" w:eastAsia="宋体" w:cs="宋体"/>
          <w:color w:val="auto"/>
          <w:w w:val="101"/>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pacing w:val="-3"/>
          <w:sz w:val="24"/>
          <w:szCs w:val="24"/>
          <w:highlight w:val="none"/>
        </w:rPr>
        <w:t>%</w:t>
      </w:r>
      <w:r>
        <w:rPr>
          <w:rFonts w:hint="eastAsia" w:ascii="宋体" w:hAnsi="宋体" w:eastAsia="宋体" w:cs="宋体"/>
          <w:color w:val="auto"/>
          <w:sz w:val="24"/>
          <w:szCs w:val="24"/>
          <w:highlight w:val="none"/>
        </w:rPr>
        <w:t>的违约金，违约金不足以赔偿甲方损失的，甲方有权要求乙方赔偿经济损失。</w:t>
      </w:r>
    </w:p>
    <w:p w14:paraId="13EA09E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（五）乙方在参与本项目采购活动过程中，如存在提供虚假承诺、证明、串通投标等违法违规行为，除承担相应的行政责任外，甲方有权解除合同，并要求乙方承担合同总金额</w:t>
      </w:r>
      <w:r>
        <w:rPr>
          <w:rFonts w:hint="eastAsia" w:ascii="宋体" w:hAnsi="宋体" w:eastAsia="宋体" w:cs="宋体"/>
          <w:color w:val="auto"/>
          <w:sz w:val="24"/>
          <w:szCs w:val="24"/>
          <w:highlight w:val="none"/>
          <w:u w:val="single"/>
        </w:rPr>
        <w:tab/>
      </w:r>
      <w:r>
        <w:rPr>
          <w:rFonts w:hint="eastAsia" w:ascii="宋体" w:hAnsi="宋体" w:eastAsia="宋体" w:cs="宋体"/>
          <w:color w:val="auto"/>
          <w:spacing w:val="-3"/>
          <w:sz w:val="24"/>
          <w:szCs w:val="24"/>
          <w:highlight w:val="none"/>
        </w:rPr>
        <w:t>%</w:t>
      </w:r>
      <w:r>
        <w:rPr>
          <w:rFonts w:hint="eastAsia" w:ascii="宋体" w:hAnsi="宋体" w:eastAsia="宋体" w:cs="宋体"/>
          <w:color w:val="auto"/>
          <w:sz w:val="24"/>
          <w:szCs w:val="24"/>
          <w:highlight w:val="none"/>
        </w:rPr>
        <w:t>的违约金，违约金不足以赔偿甲方损失的，甲方有权要</w:t>
      </w:r>
      <w:r>
        <w:rPr>
          <w:rFonts w:hint="eastAsia" w:ascii="宋体" w:hAnsi="宋体" w:eastAsia="宋体" w:cs="宋体"/>
          <w:color w:val="auto"/>
          <w:spacing w:val="-17"/>
          <w:sz w:val="24"/>
          <w:szCs w:val="24"/>
          <w:highlight w:val="none"/>
        </w:rPr>
        <w:t>求</w:t>
      </w:r>
      <w:r>
        <w:rPr>
          <w:rFonts w:hint="eastAsia" w:ascii="宋体" w:hAnsi="宋体" w:eastAsia="宋体" w:cs="宋体"/>
          <w:color w:val="auto"/>
          <w:sz w:val="24"/>
          <w:szCs w:val="24"/>
          <w:highlight w:val="none"/>
        </w:rPr>
        <w:t>乙方赔偿经济损失。</w:t>
      </w:r>
    </w:p>
    <w:p w14:paraId="575076F5">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（六）乙方存在其他违反本合同的行为，应承担相应的违约责任（注：可以根据情况进行细化）；违约金不足以赔偿甲方损失的，甲方有权要求乙方赔偿经济损失。</w:t>
      </w:r>
    </w:p>
    <w:p w14:paraId="11EC88A5">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十、不可抗力</w:t>
      </w:r>
    </w:p>
    <w:p w14:paraId="3603BDD5">
      <w:pPr>
        <w:pStyle w:val="9"/>
        <w:keepNext w:val="0"/>
        <w:keepLines w:val="0"/>
        <w:pageBreakBefore w:val="0"/>
        <w:widowControl w:val="0"/>
        <w:tabs>
          <w:tab w:val="left" w:pos="9516"/>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因不可抗力致使一方不能及时或完全履行合同的，应及时通知另一方，双方互不承担责任，并在</w:t>
      </w:r>
      <w:r>
        <w:rPr>
          <w:rFonts w:hint="eastAsia" w:ascii="宋体" w:hAnsi="宋体" w:eastAsia="宋体" w:cs="宋体"/>
          <w:color w:val="auto"/>
          <w:sz w:val="24"/>
          <w:szCs w:val="24"/>
          <w:highlight w:val="none"/>
          <w:u w:val="single"/>
        </w:rPr>
        <w:tab/>
      </w:r>
    </w:p>
    <w:p w14:paraId="6784796E">
      <w:pPr>
        <w:pStyle w:val="9"/>
        <w:keepNext w:val="0"/>
        <w:keepLines w:val="0"/>
        <w:pageBreakBefore w:val="0"/>
        <w:widowControl w:val="0"/>
        <w:tabs>
          <w:tab w:val="left" w:pos="9516"/>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天内提供有</w:t>
      </w:r>
      <w:r>
        <w:rPr>
          <w:rFonts w:hint="eastAsia" w:ascii="宋体" w:hAnsi="宋体" w:eastAsia="宋体" w:cs="宋体"/>
          <w:color w:val="auto"/>
          <w:spacing w:val="-18"/>
          <w:sz w:val="24"/>
          <w:szCs w:val="24"/>
          <w:highlight w:val="none"/>
        </w:rPr>
        <w:t>关</w:t>
      </w:r>
      <w:r>
        <w:rPr>
          <w:rFonts w:hint="eastAsia" w:ascii="宋体" w:hAnsi="宋体" w:eastAsia="宋体" w:cs="宋体"/>
          <w:color w:val="auto"/>
          <w:sz w:val="24"/>
          <w:szCs w:val="24"/>
          <w:highlight w:val="none"/>
        </w:rPr>
        <w:t>不可抗力的相关证明。合同未履行部分是否继续履行、如何履行等问题，由双方协商解决。</w:t>
      </w:r>
    </w:p>
    <w:p w14:paraId="001F5ADB">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十一、争议的解决方式</w:t>
      </w:r>
    </w:p>
    <w:p w14:paraId="4B59708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合同发生纠纷时，双方应协商解决，协商不成，可以采用下列方式 解决：</w:t>
      </w:r>
    </w:p>
    <w:p w14:paraId="3BC74FD8">
      <w:pPr>
        <w:pStyle w:val="9"/>
        <w:keepNext w:val="0"/>
        <w:keepLines w:val="0"/>
        <w:pageBreakBefore w:val="0"/>
        <w:widowControl w:val="0"/>
        <w:tabs>
          <w:tab w:val="left" w:pos="2410"/>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（一）提交</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仲裁委员会仲裁。</w:t>
      </w:r>
    </w:p>
    <w:p w14:paraId="3D0B73B1">
      <w:pPr>
        <w:keepNext w:val="0"/>
        <w:keepLines w:val="0"/>
        <w:pageBreakBefore w:val="0"/>
        <w:widowControl w:val="0"/>
        <w:tabs>
          <w:tab w:val="left" w:pos="2218"/>
        </w:tabs>
        <w:kinsoku/>
        <w:wordWrap/>
        <w:overflowPunct/>
        <w:topLinePunct w:val="0"/>
        <w:autoSpaceDE w:val="0"/>
        <w:autoSpaceDN w:val="0"/>
        <w:bidi w:val="0"/>
        <w:adjustRightInd/>
        <w:snapToGrid/>
        <w:spacing w:before="0" w:line="360" w:lineRule="auto"/>
        <w:ind w:left="0" w:right="0" w:firstLine="480" w:firstLineChars="200"/>
        <w:jc w:val="left"/>
        <w:textAlignment w:val="auto"/>
        <w:rPr>
          <w:rFonts w:hint="eastAsia" w:ascii="宋体" w:hAnsi="宋体" w:eastAsia="宋体" w:cs="宋体"/>
          <w:color w:val="auto"/>
          <w:spacing w:val="-18"/>
          <w:sz w:val="24"/>
          <w:szCs w:val="24"/>
          <w:highlight w:val="none"/>
        </w:rPr>
      </w:pPr>
      <w:r>
        <w:rPr>
          <w:rFonts w:hint="eastAsia" w:ascii="宋体" w:hAnsi="宋体" w:eastAsia="宋体" w:cs="宋体"/>
          <w:color w:val="auto"/>
          <w:sz w:val="24"/>
          <w:szCs w:val="24"/>
          <w:highlight w:val="none"/>
        </w:rPr>
        <w:t>（二）向</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人民法院起诉</w:t>
      </w:r>
      <w:r>
        <w:rPr>
          <w:rFonts w:hint="eastAsia" w:ascii="宋体" w:hAnsi="宋体" w:eastAsia="宋体" w:cs="宋体"/>
          <w:color w:val="auto"/>
          <w:spacing w:val="-18"/>
          <w:sz w:val="24"/>
          <w:szCs w:val="24"/>
          <w:highlight w:val="none"/>
        </w:rPr>
        <w:t>。</w:t>
      </w:r>
    </w:p>
    <w:p w14:paraId="4D7ED59C">
      <w:pPr>
        <w:keepNext w:val="0"/>
        <w:keepLines w:val="0"/>
        <w:pageBreakBefore w:val="0"/>
        <w:widowControl w:val="0"/>
        <w:tabs>
          <w:tab w:val="left" w:pos="2218"/>
        </w:tabs>
        <w:kinsoku/>
        <w:wordWrap/>
        <w:overflowPunct/>
        <w:topLinePunct w:val="0"/>
        <w:autoSpaceDE w:val="0"/>
        <w:autoSpaceDN w:val="0"/>
        <w:bidi w:val="0"/>
        <w:adjustRightInd/>
        <w:snapToGrid/>
        <w:spacing w:before="0" w:line="360" w:lineRule="auto"/>
        <w:ind w:left="0" w:right="0" w:firstLine="530" w:firstLineChars="200"/>
        <w:jc w:val="left"/>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pacing w:val="12"/>
          <w:sz w:val="24"/>
          <w:szCs w:val="24"/>
          <w:highlight w:val="none"/>
        </w:rPr>
        <w:t>十二、合同保</w:t>
      </w:r>
      <w:r>
        <w:rPr>
          <w:rFonts w:hint="eastAsia" w:ascii="宋体" w:hAnsi="宋体" w:eastAsia="宋体" w:cs="宋体"/>
          <w:b/>
          <w:color w:val="auto"/>
          <w:sz w:val="24"/>
          <w:szCs w:val="24"/>
          <w:highlight w:val="none"/>
        </w:rPr>
        <w:t>存</w:t>
      </w:r>
    </w:p>
    <w:p w14:paraId="68F2584A">
      <w:pPr>
        <w:pStyle w:val="9"/>
        <w:keepNext w:val="0"/>
        <w:keepLines w:val="0"/>
        <w:pageBreakBefore w:val="0"/>
        <w:widowControl w:val="0"/>
        <w:tabs>
          <w:tab w:val="left" w:pos="2026"/>
          <w:tab w:val="left" w:pos="7596"/>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合同文本一式</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份，采购单位、中标（成交）供应商、采购代理机构、</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各执一份。合同文本保存期限为从</w:t>
      </w:r>
      <w:r>
        <w:rPr>
          <w:rFonts w:hint="eastAsia" w:ascii="宋体" w:hAnsi="宋体" w:eastAsia="宋体" w:cs="宋体"/>
          <w:color w:val="auto"/>
          <w:spacing w:val="-18"/>
          <w:sz w:val="24"/>
          <w:szCs w:val="24"/>
          <w:highlight w:val="none"/>
        </w:rPr>
        <w:t>采</w:t>
      </w:r>
      <w:r>
        <w:rPr>
          <w:rFonts w:hint="eastAsia" w:ascii="宋体" w:hAnsi="宋体" w:eastAsia="宋体" w:cs="宋体"/>
          <w:color w:val="auto"/>
          <w:sz w:val="24"/>
          <w:szCs w:val="24"/>
          <w:highlight w:val="none"/>
        </w:rPr>
        <w:t>购结束之日起至少保存十五年。</w:t>
      </w:r>
    </w:p>
    <w:p w14:paraId="43B5471E">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十三、合同附件</w:t>
      </w:r>
    </w:p>
    <w:p w14:paraId="766C689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本合同所附下列文件是构成本合同不可分割的部分，与本合同具有同等法律效力：</w:t>
      </w:r>
    </w:p>
    <w:p w14:paraId="5A55C09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1、服务清单（双方应盖章确认）</w:t>
      </w:r>
    </w:p>
    <w:p w14:paraId="2CD4BB1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2、乙方出具的</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单（函）</w:t>
      </w:r>
    </w:p>
    <w:p w14:paraId="4B6E1AD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3、中标（成交）结果公告及中标（成交）通知书</w:t>
      </w:r>
    </w:p>
    <w:p w14:paraId="730C36E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4、甲方招标（磋商、谈判）文件</w:t>
      </w:r>
    </w:p>
    <w:p w14:paraId="6C2E555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5、乙方投标（响应）文件</w:t>
      </w:r>
    </w:p>
    <w:p w14:paraId="1C2CDF37">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6、甲乙双方商定的其他文件</w:t>
      </w:r>
    </w:p>
    <w:p w14:paraId="3000BF23">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十四、双方约定的其他事宜</w:t>
      </w:r>
      <w:r>
        <w:rPr>
          <w:rFonts w:hint="eastAsia" w:cs="宋体"/>
          <w:b/>
          <w:color w:val="auto"/>
          <w:sz w:val="24"/>
          <w:szCs w:val="24"/>
          <w:highlight w:val="none"/>
          <w:lang w:val="en-US" w:eastAsia="zh-CN"/>
        </w:rPr>
        <w:t xml:space="preserve"> </w:t>
      </w:r>
      <w:r>
        <w:rPr>
          <w:rFonts w:hint="eastAsia" w:cs="宋体"/>
          <w:b/>
          <w:color w:val="auto"/>
          <w:sz w:val="24"/>
          <w:szCs w:val="24"/>
          <w:highlight w:val="none"/>
          <w:u w:val="single"/>
          <w:lang w:val="en-US" w:eastAsia="zh-CN"/>
        </w:rPr>
        <w:t xml:space="preserve">   </w:t>
      </w:r>
      <w:r>
        <w:rPr>
          <w:rFonts w:hint="eastAsia" w:ascii="宋体" w:hAnsi="宋体" w:eastAsia="宋体" w:cs="宋体"/>
          <w:color w:val="auto"/>
          <w:w w:val="101"/>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64340744">
      <w:pPr>
        <w:pStyle w:val="5"/>
        <w:keepNext w:val="0"/>
        <w:keepLines w:val="0"/>
        <w:pageBreakBefore w:val="0"/>
        <w:widowControl w:val="0"/>
        <w:numPr>
          <w:ilvl w:val="0"/>
          <w:numId w:val="15"/>
        </w:numPr>
        <w:kinsoku/>
        <w:wordWrap/>
        <w:overflowPunct/>
        <w:topLinePunct w:val="0"/>
        <w:autoSpaceDE w:val="0"/>
        <w:autoSpaceDN w:val="0"/>
        <w:bidi w:val="0"/>
        <w:adjustRightInd/>
        <w:snapToGrid/>
        <w:spacing w:before="0" w:line="360" w:lineRule="auto"/>
        <w:ind w:left="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合同未尽事宜，双方另行签订补充协议，补充协议是合同的组成部分。</w:t>
      </w:r>
    </w:p>
    <w:p w14:paraId="3345ABCF">
      <w:pPr>
        <w:pStyle w:val="5"/>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right="0" w:rightChars="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十六、本合同由甲乙双方盖章生效。</w:t>
      </w:r>
    </w:p>
    <w:p w14:paraId="20CEDA25">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textAlignment w:val="auto"/>
        <w:rPr>
          <w:rFonts w:hint="eastAsia" w:ascii="宋体" w:hAnsi="宋体" w:eastAsia="宋体" w:cs="宋体"/>
          <w:color w:val="auto"/>
          <w:sz w:val="24"/>
          <w:szCs w:val="24"/>
          <w:highlight w:val="none"/>
        </w:rPr>
      </w:pPr>
    </w:p>
    <w:p w14:paraId="2617232C">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textAlignment w:val="auto"/>
        <w:rPr>
          <w:rFonts w:hint="eastAsia" w:ascii="宋体" w:hAnsi="宋体" w:eastAsia="宋体" w:cs="宋体"/>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2F51123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甲方名称：（章）</w:t>
      </w:r>
    </w:p>
    <w:p w14:paraId="057FB0BA">
      <w:pPr>
        <w:pStyle w:val="9"/>
        <w:keepNext w:val="0"/>
        <w:keepLines w:val="0"/>
        <w:pageBreakBefore w:val="0"/>
        <w:widowControl w:val="0"/>
        <w:tabs>
          <w:tab w:val="left" w:pos="1162"/>
          <w:tab w:val="left" w:pos="1594"/>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pacing w:val="-17"/>
          <w:sz w:val="24"/>
          <w:szCs w:val="24"/>
          <w:highlight w:val="none"/>
        </w:rPr>
      </w:pPr>
      <w:r>
        <w:rPr>
          <w:rFonts w:hint="eastAsia" w:ascii="宋体" w:hAnsi="宋体" w:eastAsia="宋体" w:cs="宋体"/>
          <w:color w:val="auto"/>
          <w:sz w:val="24"/>
          <w:szCs w:val="24"/>
          <w:highlight w:val="none"/>
        </w:rPr>
        <w:t>甲方法定代表人或负责人：（签字</w:t>
      </w:r>
      <w:r>
        <w:rPr>
          <w:rFonts w:hint="eastAsia" w:ascii="宋体" w:hAnsi="宋体" w:eastAsia="宋体" w:cs="宋体"/>
          <w:color w:val="auto"/>
          <w:spacing w:val="-17"/>
          <w:sz w:val="24"/>
          <w:szCs w:val="24"/>
          <w:highlight w:val="none"/>
        </w:rPr>
        <w:t>）</w:t>
      </w:r>
    </w:p>
    <w:p w14:paraId="0A064BD3">
      <w:pPr>
        <w:pStyle w:val="9"/>
        <w:keepNext w:val="0"/>
        <w:keepLines w:val="0"/>
        <w:pageBreakBefore w:val="0"/>
        <w:widowControl w:val="0"/>
        <w:tabs>
          <w:tab w:val="left" w:pos="1162"/>
          <w:tab w:val="left" w:pos="1594"/>
        </w:tabs>
        <w:kinsoku/>
        <w:wordWrap/>
        <w:overflowPunct/>
        <w:topLinePunct w:val="0"/>
        <w:autoSpaceDE w:val="0"/>
        <w:autoSpaceDN w:val="0"/>
        <w:bidi w:val="0"/>
        <w:adjustRightInd/>
        <w:snapToGrid/>
        <w:spacing w:before="0" w:line="360" w:lineRule="auto"/>
        <w:ind w:left="0" w:right="0" w:firstLine="41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7"/>
          <w:sz w:val="24"/>
          <w:szCs w:val="24"/>
          <w:highlight w:val="non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日</w:t>
      </w:r>
    </w:p>
    <w:p w14:paraId="5F4CA651">
      <w:pPr>
        <w:pStyle w:val="9"/>
        <w:keepNext w:val="0"/>
        <w:keepLines w:val="0"/>
        <w:pageBreakBefore w:val="0"/>
        <w:widowControl w:val="0"/>
        <w:tabs>
          <w:tab w:val="left" w:pos="1162"/>
          <w:tab w:val="left" w:pos="1594"/>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p>
    <w:p w14:paraId="77F7ABAA">
      <w:pPr>
        <w:pStyle w:val="9"/>
        <w:spacing w:line="242" w:lineRule="exact"/>
        <w:rPr>
          <w:color w:val="auto"/>
          <w:sz w:val="24"/>
          <w:szCs w:val="24"/>
          <w:highlight w:val="none"/>
        </w:rPr>
      </w:pPr>
      <w:r>
        <w:rPr>
          <w:color w:val="auto"/>
          <w:sz w:val="24"/>
          <w:szCs w:val="24"/>
          <w:highlight w:val="none"/>
        </w:rPr>
        <w:t>乙方名称：（章）</w:t>
      </w:r>
    </w:p>
    <w:p w14:paraId="17895D88">
      <w:pPr>
        <w:pStyle w:val="9"/>
        <w:tabs>
          <w:tab w:val="left" w:pos="1162"/>
          <w:tab w:val="left" w:pos="1594"/>
        </w:tabs>
        <w:spacing w:before="140" w:line="379" w:lineRule="auto"/>
        <w:ind w:left="730" w:right="2081" w:hanging="241"/>
        <w:rPr>
          <w:color w:val="auto"/>
          <w:spacing w:val="-17"/>
          <w:sz w:val="24"/>
          <w:szCs w:val="24"/>
          <w:highlight w:val="none"/>
        </w:rPr>
      </w:pPr>
      <w:r>
        <w:rPr>
          <w:color w:val="auto"/>
          <w:sz w:val="24"/>
          <w:szCs w:val="24"/>
          <w:highlight w:val="none"/>
        </w:rPr>
        <w:t>乙方法定代表人或负责人：（签字</w:t>
      </w:r>
      <w:r>
        <w:rPr>
          <w:color w:val="auto"/>
          <w:spacing w:val="-17"/>
          <w:sz w:val="24"/>
          <w:szCs w:val="24"/>
          <w:highlight w:val="none"/>
        </w:rPr>
        <w:t>）</w:t>
      </w:r>
    </w:p>
    <w:p w14:paraId="4B5A9691">
      <w:pPr>
        <w:pStyle w:val="9"/>
        <w:tabs>
          <w:tab w:val="left" w:pos="1162"/>
          <w:tab w:val="left" w:pos="1594"/>
        </w:tabs>
        <w:spacing w:before="140" w:line="379" w:lineRule="auto"/>
        <w:ind w:left="730" w:right="2081" w:hanging="241"/>
        <w:rPr>
          <w:color w:val="auto"/>
          <w:sz w:val="24"/>
          <w:szCs w:val="24"/>
          <w:highlight w:val="none"/>
        </w:rPr>
      </w:pPr>
      <w:r>
        <w:rPr>
          <w:color w:val="auto"/>
          <w:spacing w:val="-17"/>
          <w:sz w:val="24"/>
          <w:szCs w:val="24"/>
          <w:highlight w:val="none"/>
        </w:rPr>
        <w:t xml:space="preserve"> </w:t>
      </w: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14:paraId="52052347">
      <w:pPr>
        <w:spacing w:after="0" w:line="379" w:lineRule="auto"/>
        <w:rPr>
          <w:color w:val="auto"/>
          <w:sz w:val="24"/>
          <w:szCs w:val="24"/>
          <w:highlight w:val="none"/>
        </w:rPr>
        <w:sectPr>
          <w:type w:val="continuous"/>
          <w:pgSz w:w="11900" w:h="16840"/>
          <w:pgMar w:top="1599" w:right="1259" w:bottom="1599" w:left="1259" w:header="720" w:footer="91" w:gutter="0"/>
          <w:pgNumType w:fmt="decimal"/>
          <w:cols w:space="0" w:num="1"/>
          <w:rtlGutter w:val="0"/>
          <w:docGrid w:linePitch="0" w:charSpace="0"/>
        </w:sectPr>
      </w:pPr>
    </w:p>
    <w:p w14:paraId="2A8EA423">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06" w:firstLineChars="200"/>
        <w:jc w:val="left"/>
        <w:textAlignment w:val="auto"/>
        <w:rPr>
          <w:rFonts w:hint="eastAsia" w:ascii="宋体" w:hAnsi="宋体" w:eastAsia="宋体" w:cs="宋体"/>
          <w:b/>
          <w:color w:val="auto"/>
          <w:sz w:val="24"/>
          <w:szCs w:val="36"/>
          <w:highlight w:val="none"/>
        </w:rPr>
      </w:pPr>
      <w:r>
        <w:rPr>
          <w:rFonts w:hint="eastAsia" w:ascii="宋体" w:hAnsi="宋体" w:eastAsia="宋体" w:cs="宋体"/>
          <w:b/>
          <w:color w:val="auto"/>
          <w:w w:val="105"/>
          <w:sz w:val="24"/>
          <w:szCs w:val="36"/>
          <w:highlight w:val="none"/>
        </w:rPr>
        <w:t>二</w:t>
      </w:r>
      <w:r>
        <w:rPr>
          <w:rFonts w:hint="eastAsia" w:ascii="宋体" w:hAnsi="宋体" w:eastAsia="宋体" w:cs="宋体"/>
          <w:color w:val="auto"/>
          <w:w w:val="105"/>
          <w:sz w:val="24"/>
          <w:szCs w:val="36"/>
          <w:highlight w:val="none"/>
        </w:rPr>
        <w:t>.</w:t>
      </w:r>
      <w:r>
        <w:rPr>
          <w:rFonts w:hint="eastAsia" w:ascii="宋体" w:hAnsi="宋体" w:eastAsia="宋体" w:cs="宋体"/>
          <w:b/>
          <w:color w:val="auto"/>
          <w:w w:val="105"/>
          <w:sz w:val="24"/>
          <w:szCs w:val="36"/>
          <w:highlight w:val="none"/>
        </w:rPr>
        <w:t>验收</w:t>
      </w:r>
    </w:p>
    <w:p w14:paraId="15EBD1B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严格按照采购合同开展履约验收。采购人或者采购代理机构应当成立验收小组,按照采购合同的约定对供应商履约情况进行验收。验收时,应当按照采购合同的约定对每一项技术、服务、安全标准的履约情况进行确认。验收结束后,应当出具验收书（参考格式附后）,列明各项标准的验收情况及项目总体评价,由验收双方共同签署。验收结果应当与采购合同约定的资金支付及履约保证金返还条件挂钩。履约验收的各项资料应当存档备查。</w:t>
      </w:r>
    </w:p>
    <w:p w14:paraId="75245639">
      <w:pPr>
        <w:spacing w:after="0" w:line="273" w:lineRule="auto"/>
        <w:rPr>
          <w:color w:val="auto"/>
          <w:highlight w:val="none"/>
        </w:rPr>
        <w:sectPr>
          <w:pgSz w:w="11900" w:h="16840"/>
          <w:pgMar w:top="1599" w:right="1259" w:bottom="1599" w:left="1259" w:header="720" w:footer="91" w:gutter="0"/>
          <w:pgNumType w:fmt="decimal"/>
          <w:cols w:space="0" w:num="1"/>
          <w:rtlGutter w:val="0"/>
          <w:docGrid w:linePitch="0" w:charSpace="0"/>
        </w:sectPr>
      </w:pPr>
    </w:p>
    <w:p w14:paraId="5C562214">
      <w:pPr>
        <w:pStyle w:val="4"/>
        <w:spacing w:before="64"/>
        <w:ind w:left="295" w:right="362"/>
        <w:jc w:val="center"/>
        <w:rPr>
          <w:color w:val="auto"/>
          <w:highlight w:val="none"/>
        </w:rPr>
      </w:pPr>
      <w:bookmarkStart w:id="265" w:name="_Toc4142"/>
      <w:bookmarkStart w:id="266" w:name="_Toc31400"/>
      <w:bookmarkStart w:id="267" w:name="_Toc3051"/>
      <w:bookmarkStart w:id="268" w:name="_Toc4715"/>
      <w:bookmarkStart w:id="269" w:name="_Toc4"/>
      <w:r>
        <w:rPr>
          <w:color w:val="auto"/>
          <w:highlight w:val="none"/>
        </w:rPr>
        <w:t>政府采购服务履约验收书</w:t>
      </w:r>
      <w:bookmarkEnd w:id="265"/>
      <w:bookmarkEnd w:id="266"/>
      <w:bookmarkEnd w:id="267"/>
      <w:bookmarkEnd w:id="268"/>
      <w:bookmarkEnd w:id="269"/>
    </w:p>
    <w:p w14:paraId="501C0486">
      <w:pPr>
        <w:pStyle w:val="9"/>
        <w:spacing w:before="1"/>
        <w:ind w:left="0"/>
        <w:rPr>
          <w:b/>
          <w:color w:val="auto"/>
          <w:sz w:val="22"/>
          <w:highlight w:val="none"/>
        </w:rPr>
      </w:pPr>
    </w:p>
    <w:p w14:paraId="4F2E2BE1">
      <w:pPr>
        <w:spacing w:before="0"/>
        <w:ind w:left="295" w:right="362" w:firstLine="0"/>
        <w:jc w:val="center"/>
        <w:rPr>
          <w:b/>
          <w:color w:val="auto"/>
          <w:sz w:val="21"/>
          <w:highlight w:val="none"/>
        </w:rPr>
      </w:pPr>
      <w:r>
        <w:rPr>
          <w:b/>
          <w:color w:val="auto"/>
          <w:sz w:val="21"/>
          <w:highlight w:val="none"/>
        </w:rPr>
        <w:t>（参考格式）</w:t>
      </w:r>
    </w:p>
    <w:p w14:paraId="4F275954">
      <w:pPr>
        <w:pStyle w:val="9"/>
        <w:spacing w:before="2"/>
        <w:ind w:left="0"/>
        <w:rPr>
          <w:b/>
          <w:color w:val="auto"/>
          <w:sz w:val="13"/>
          <w:highlight w:val="none"/>
        </w:rPr>
      </w:pP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317"/>
        <w:gridCol w:w="4922"/>
        <w:gridCol w:w="2467"/>
        <w:gridCol w:w="432"/>
        <w:gridCol w:w="414"/>
      </w:tblGrid>
      <w:tr w14:paraId="14759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7252DD92">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项目名称</w:t>
            </w:r>
          </w:p>
        </w:tc>
        <w:tc>
          <w:tcPr>
            <w:tcW w:w="8235" w:type="dxa"/>
            <w:gridSpan w:val="4"/>
          </w:tcPr>
          <w:p w14:paraId="6A0F7479">
            <w:pPr>
              <w:pStyle w:val="28"/>
              <w:spacing w:line="240" w:lineRule="auto"/>
              <w:rPr>
                <w:rFonts w:hint="eastAsia" w:ascii="宋体" w:hAnsi="宋体" w:eastAsia="宋体" w:cs="宋体"/>
                <w:color w:val="auto"/>
                <w:sz w:val="22"/>
                <w:szCs w:val="22"/>
                <w:highlight w:val="none"/>
              </w:rPr>
            </w:pPr>
          </w:p>
        </w:tc>
      </w:tr>
      <w:tr w14:paraId="6E68A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29833296">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项目编号</w:t>
            </w:r>
          </w:p>
        </w:tc>
        <w:tc>
          <w:tcPr>
            <w:tcW w:w="8235" w:type="dxa"/>
            <w:gridSpan w:val="4"/>
          </w:tcPr>
          <w:p w14:paraId="67E09747">
            <w:pPr>
              <w:pStyle w:val="28"/>
              <w:spacing w:line="240" w:lineRule="auto"/>
              <w:rPr>
                <w:rFonts w:hint="eastAsia" w:ascii="宋体" w:hAnsi="宋体" w:eastAsia="宋体" w:cs="宋体"/>
                <w:color w:val="auto"/>
                <w:sz w:val="22"/>
                <w:szCs w:val="22"/>
                <w:highlight w:val="none"/>
              </w:rPr>
            </w:pPr>
          </w:p>
        </w:tc>
      </w:tr>
      <w:tr w14:paraId="103736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3B0A4B17">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采购人</w:t>
            </w:r>
          </w:p>
        </w:tc>
        <w:tc>
          <w:tcPr>
            <w:tcW w:w="8235" w:type="dxa"/>
            <w:gridSpan w:val="4"/>
          </w:tcPr>
          <w:p w14:paraId="3E6B5588">
            <w:pPr>
              <w:pStyle w:val="28"/>
              <w:spacing w:line="240" w:lineRule="auto"/>
              <w:rPr>
                <w:rFonts w:hint="eastAsia" w:ascii="宋体" w:hAnsi="宋体" w:eastAsia="宋体" w:cs="宋体"/>
                <w:color w:val="auto"/>
                <w:sz w:val="22"/>
                <w:szCs w:val="22"/>
                <w:highlight w:val="none"/>
              </w:rPr>
            </w:pPr>
          </w:p>
        </w:tc>
      </w:tr>
      <w:tr w14:paraId="13D02D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58536800">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使用人</w:t>
            </w:r>
          </w:p>
        </w:tc>
        <w:tc>
          <w:tcPr>
            <w:tcW w:w="8235" w:type="dxa"/>
            <w:gridSpan w:val="4"/>
          </w:tcPr>
          <w:p w14:paraId="3C090327">
            <w:pPr>
              <w:pStyle w:val="28"/>
              <w:spacing w:line="240" w:lineRule="auto"/>
              <w:rPr>
                <w:rFonts w:hint="eastAsia" w:ascii="宋体" w:hAnsi="宋体" w:eastAsia="宋体" w:cs="宋体"/>
                <w:color w:val="auto"/>
                <w:sz w:val="22"/>
                <w:szCs w:val="22"/>
                <w:highlight w:val="none"/>
              </w:rPr>
            </w:pPr>
          </w:p>
        </w:tc>
      </w:tr>
      <w:tr w14:paraId="41F80A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2AF6E6A9">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w:t>
            </w:r>
          </w:p>
        </w:tc>
        <w:tc>
          <w:tcPr>
            <w:tcW w:w="8235" w:type="dxa"/>
            <w:gridSpan w:val="4"/>
          </w:tcPr>
          <w:p w14:paraId="306AFE4C">
            <w:pPr>
              <w:pStyle w:val="28"/>
              <w:spacing w:line="240" w:lineRule="auto"/>
              <w:rPr>
                <w:rFonts w:hint="eastAsia" w:ascii="宋体" w:hAnsi="宋体" w:eastAsia="宋体" w:cs="宋体"/>
                <w:color w:val="auto"/>
                <w:sz w:val="22"/>
                <w:szCs w:val="22"/>
                <w:highlight w:val="none"/>
              </w:rPr>
            </w:pPr>
          </w:p>
        </w:tc>
      </w:tr>
      <w:tr w14:paraId="223DD7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01" w:hRule="atLeast"/>
          <w:jc w:val="center"/>
        </w:trPr>
        <w:tc>
          <w:tcPr>
            <w:tcW w:w="2317" w:type="dxa"/>
          </w:tcPr>
          <w:p w14:paraId="0E300716">
            <w:pPr>
              <w:pStyle w:val="28"/>
              <w:spacing w:line="240" w:lineRule="auto"/>
              <w:rPr>
                <w:rFonts w:hint="eastAsia" w:ascii="宋体" w:hAnsi="宋体" w:eastAsia="宋体" w:cs="宋体"/>
                <w:b/>
                <w:color w:val="auto"/>
                <w:sz w:val="22"/>
                <w:szCs w:val="22"/>
                <w:highlight w:val="none"/>
              </w:rPr>
            </w:pPr>
          </w:p>
          <w:p w14:paraId="3FC0BA22">
            <w:pPr>
              <w:pStyle w:val="28"/>
              <w:spacing w:line="240" w:lineRule="auto"/>
              <w:rPr>
                <w:rFonts w:hint="eastAsia" w:ascii="宋体" w:hAnsi="宋体" w:eastAsia="宋体" w:cs="宋体"/>
                <w:b/>
                <w:color w:val="auto"/>
                <w:sz w:val="22"/>
                <w:szCs w:val="22"/>
                <w:highlight w:val="none"/>
              </w:rPr>
            </w:pPr>
          </w:p>
          <w:p w14:paraId="19206068">
            <w:pPr>
              <w:pStyle w:val="28"/>
              <w:spacing w:line="240" w:lineRule="auto"/>
              <w:rPr>
                <w:rFonts w:hint="eastAsia" w:ascii="宋体" w:hAnsi="宋体" w:eastAsia="宋体" w:cs="宋体"/>
                <w:b/>
                <w:color w:val="auto"/>
                <w:sz w:val="22"/>
                <w:szCs w:val="22"/>
                <w:highlight w:val="none"/>
              </w:rPr>
            </w:pPr>
          </w:p>
          <w:p w14:paraId="169C777E">
            <w:pPr>
              <w:pStyle w:val="28"/>
              <w:spacing w:before="8" w:line="240" w:lineRule="auto"/>
              <w:rPr>
                <w:rFonts w:hint="eastAsia" w:ascii="宋体" w:hAnsi="宋体" w:eastAsia="宋体" w:cs="宋体"/>
                <w:b/>
                <w:color w:val="auto"/>
                <w:sz w:val="22"/>
                <w:szCs w:val="22"/>
                <w:highlight w:val="none"/>
              </w:rPr>
            </w:pPr>
          </w:p>
          <w:p w14:paraId="05B6578A">
            <w:pPr>
              <w:pStyle w:val="28"/>
              <w:spacing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验收依据</w:t>
            </w:r>
          </w:p>
        </w:tc>
        <w:tc>
          <w:tcPr>
            <w:tcW w:w="8235" w:type="dxa"/>
            <w:gridSpan w:val="4"/>
          </w:tcPr>
          <w:p w14:paraId="2836338C">
            <w:pPr>
              <w:pStyle w:val="28"/>
              <w:numPr>
                <w:ilvl w:val="0"/>
                <w:numId w:val="16"/>
              </w:numPr>
              <w:tabs>
                <w:tab w:val="left" w:pos="283"/>
              </w:tabs>
              <w:spacing w:before="24" w:after="0" w:line="240" w:lineRule="auto"/>
              <w:ind w:left="282" w:right="0" w:hanging="183"/>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政府采购合同（合同名称及编号）</w:t>
            </w:r>
          </w:p>
          <w:p w14:paraId="570BFAC6">
            <w:pPr>
              <w:pStyle w:val="28"/>
              <w:numPr>
                <w:ilvl w:val="0"/>
                <w:numId w:val="16"/>
              </w:numPr>
              <w:tabs>
                <w:tab w:val="left" w:pos="283"/>
              </w:tabs>
              <w:spacing w:before="15" w:after="0" w:line="240" w:lineRule="auto"/>
              <w:ind w:left="282" w:right="0" w:hanging="183"/>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中标（成交）公告或中标（成交）通知书</w:t>
            </w:r>
          </w:p>
          <w:p w14:paraId="725E4433">
            <w:pPr>
              <w:pStyle w:val="28"/>
              <w:numPr>
                <w:ilvl w:val="0"/>
                <w:numId w:val="16"/>
              </w:numPr>
              <w:tabs>
                <w:tab w:val="left" w:pos="283"/>
              </w:tabs>
              <w:spacing w:before="16" w:after="0" w:line="240" w:lineRule="auto"/>
              <w:ind w:left="282" w:right="0" w:hanging="183"/>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招标（磋商、谈判）文件或询价通知书</w:t>
            </w:r>
          </w:p>
          <w:p w14:paraId="24EC2647">
            <w:pPr>
              <w:pStyle w:val="28"/>
              <w:numPr>
                <w:ilvl w:val="0"/>
                <w:numId w:val="16"/>
              </w:numPr>
              <w:tabs>
                <w:tab w:val="left" w:pos="283"/>
              </w:tabs>
              <w:spacing w:before="15" w:after="0" w:line="240" w:lineRule="auto"/>
              <w:ind w:left="282" w:right="0" w:hanging="183"/>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投标（响应）文件</w:t>
            </w:r>
          </w:p>
          <w:p w14:paraId="43A99E96">
            <w:pPr>
              <w:pStyle w:val="28"/>
              <w:numPr>
                <w:ilvl w:val="0"/>
                <w:numId w:val="16"/>
              </w:numPr>
              <w:tabs>
                <w:tab w:val="left" w:pos="283"/>
              </w:tabs>
              <w:spacing w:before="16" w:after="0" w:line="240" w:lineRule="auto"/>
              <w:ind w:left="282" w:right="0" w:hanging="183"/>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供应商的承诺、声明或保证（如有）</w:t>
            </w:r>
          </w:p>
          <w:p w14:paraId="76092E30">
            <w:pPr>
              <w:pStyle w:val="28"/>
              <w:spacing w:before="52"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注：验收依据可根据项目具体情况适当增加</w:t>
            </w:r>
          </w:p>
        </w:tc>
      </w:tr>
      <w:tr w14:paraId="7B4236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jc w:val="center"/>
        </w:trPr>
        <w:tc>
          <w:tcPr>
            <w:tcW w:w="2317" w:type="dxa"/>
          </w:tcPr>
          <w:p w14:paraId="12C1E64D">
            <w:pPr>
              <w:pStyle w:val="28"/>
              <w:spacing w:before="9" w:line="240" w:lineRule="auto"/>
              <w:rPr>
                <w:rFonts w:hint="eastAsia" w:ascii="宋体" w:hAnsi="宋体" w:eastAsia="宋体" w:cs="宋体"/>
                <w:b/>
                <w:color w:val="auto"/>
                <w:sz w:val="22"/>
                <w:szCs w:val="22"/>
                <w:highlight w:val="none"/>
              </w:rPr>
            </w:pPr>
          </w:p>
          <w:p w14:paraId="6D457308">
            <w:pPr>
              <w:pStyle w:val="28"/>
              <w:spacing w:line="240" w:lineRule="auto"/>
              <w:ind w:left="100" w:right="86"/>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供应商对履约情况的总结及提供的相关证明材料</w:t>
            </w:r>
          </w:p>
        </w:tc>
        <w:tc>
          <w:tcPr>
            <w:tcW w:w="8235" w:type="dxa"/>
            <w:gridSpan w:val="4"/>
          </w:tcPr>
          <w:p w14:paraId="67F8795E">
            <w:pPr>
              <w:pStyle w:val="28"/>
              <w:spacing w:before="60" w:line="240" w:lineRule="auto"/>
              <w:ind w:left="100" w:right="243"/>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注：供应商根据采购合同的约定，对履约情况（包括但不限于采购合同中约定的服务内容、服务要求、服务质量、人员配置、服务成果、服务成果的交付等）进行总结，并提供相应的履约</w:t>
            </w:r>
          </w:p>
          <w:p w14:paraId="504E2CCD">
            <w:pPr>
              <w:pStyle w:val="28"/>
              <w:spacing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证明材料作为附件。</w:t>
            </w:r>
          </w:p>
        </w:tc>
      </w:tr>
      <w:tr w14:paraId="4E4232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317" w:type="dxa"/>
          </w:tcPr>
          <w:p w14:paraId="0A2910B2">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采购人（使用人）对履约情况的确认</w:t>
            </w:r>
          </w:p>
        </w:tc>
        <w:tc>
          <w:tcPr>
            <w:tcW w:w="8235" w:type="dxa"/>
            <w:gridSpan w:val="4"/>
          </w:tcPr>
          <w:p w14:paraId="5AD9F4DD">
            <w:pPr>
              <w:pStyle w:val="28"/>
              <w:spacing w:before="9" w:line="240" w:lineRule="auto"/>
              <w:rPr>
                <w:rFonts w:hint="eastAsia" w:ascii="宋体" w:hAnsi="宋体" w:eastAsia="宋体" w:cs="宋体"/>
                <w:b/>
                <w:color w:val="auto"/>
                <w:sz w:val="22"/>
                <w:szCs w:val="22"/>
                <w:highlight w:val="none"/>
              </w:rPr>
            </w:pPr>
          </w:p>
          <w:p w14:paraId="0B824167">
            <w:pPr>
              <w:pStyle w:val="28"/>
              <w:spacing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注：采购人或使用人根据采购合同约定，对供应商履约情况进行逐一确认。</w:t>
            </w:r>
          </w:p>
        </w:tc>
      </w:tr>
      <w:tr w14:paraId="05178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33" w:hRule="atLeast"/>
          <w:jc w:val="center"/>
        </w:trPr>
        <w:tc>
          <w:tcPr>
            <w:tcW w:w="2317" w:type="dxa"/>
          </w:tcPr>
          <w:p w14:paraId="47B685F3">
            <w:pPr>
              <w:pStyle w:val="28"/>
              <w:spacing w:line="240" w:lineRule="auto"/>
              <w:rPr>
                <w:rFonts w:hint="eastAsia" w:ascii="宋体" w:hAnsi="宋体" w:eastAsia="宋体" w:cs="宋体"/>
                <w:b/>
                <w:color w:val="auto"/>
                <w:sz w:val="22"/>
                <w:szCs w:val="22"/>
                <w:highlight w:val="none"/>
              </w:rPr>
            </w:pPr>
          </w:p>
          <w:p w14:paraId="40844E16">
            <w:pPr>
              <w:pStyle w:val="28"/>
              <w:spacing w:line="240" w:lineRule="auto"/>
              <w:rPr>
                <w:rFonts w:hint="eastAsia" w:ascii="宋体" w:hAnsi="宋体" w:eastAsia="宋体" w:cs="宋体"/>
                <w:b/>
                <w:color w:val="auto"/>
                <w:sz w:val="22"/>
                <w:szCs w:val="22"/>
                <w:highlight w:val="none"/>
              </w:rPr>
            </w:pPr>
          </w:p>
          <w:p w14:paraId="624B4AA6">
            <w:pPr>
              <w:pStyle w:val="28"/>
              <w:spacing w:before="8" w:line="240" w:lineRule="auto"/>
              <w:rPr>
                <w:rFonts w:hint="eastAsia" w:ascii="宋体" w:hAnsi="宋体" w:eastAsia="宋体" w:cs="宋体"/>
                <w:b/>
                <w:color w:val="auto"/>
                <w:sz w:val="22"/>
                <w:szCs w:val="22"/>
                <w:highlight w:val="none"/>
              </w:rPr>
            </w:pPr>
          </w:p>
          <w:p w14:paraId="61553395">
            <w:pPr>
              <w:pStyle w:val="28"/>
              <w:spacing w:before="1"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验收人员名单及组成</w:t>
            </w:r>
          </w:p>
        </w:tc>
        <w:tc>
          <w:tcPr>
            <w:tcW w:w="8235" w:type="dxa"/>
            <w:gridSpan w:val="4"/>
          </w:tcPr>
          <w:p w14:paraId="2D83E7F5">
            <w:pPr>
              <w:pStyle w:val="28"/>
              <w:numPr>
                <w:ilvl w:val="0"/>
                <w:numId w:val="17"/>
              </w:numPr>
              <w:tabs>
                <w:tab w:val="left" w:pos="341"/>
              </w:tabs>
              <w:spacing w:before="24" w:after="0" w:line="240" w:lineRule="auto"/>
              <w:ind w:left="340" w:right="0" w:hanging="241"/>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采购人代表：</w:t>
            </w:r>
          </w:p>
          <w:p w14:paraId="0FA6D9B4">
            <w:pPr>
              <w:pStyle w:val="28"/>
              <w:numPr>
                <w:ilvl w:val="0"/>
                <w:numId w:val="17"/>
              </w:numPr>
              <w:tabs>
                <w:tab w:val="left" w:pos="341"/>
              </w:tabs>
              <w:spacing w:before="15" w:after="0" w:line="240" w:lineRule="auto"/>
              <w:ind w:left="340" w:right="0" w:hanging="241"/>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采购代理机构代表：</w:t>
            </w:r>
          </w:p>
          <w:p w14:paraId="31D48698">
            <w:pPr>
              <w:pStyle w:val="28"/>
              <w:numPr>
                <w:ilvl w:val="0"/>
                <w:numId w:val="17"/>
              </w:numPr>
              <w:tabs>
                <w:tab w:val="left" w:pos="341"/>
              </w:tabs>
              <w:spacing w:before="16" w:after="0" w:line="240" w:lineRule="auto"/>
              <w:ind w:left="340" w:right="0" w:hanging="241"/>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第三方专业机构代表及专家：</w:t>
            </w:r>
          </w:p>
          <w:p w14:paraId="4CD521EC">
            <w:pPr>
              <w:pStyle w:val="28"/>
              <w:numPr>
                <w:ilvl w:val="0"/>
                <w:numId w:val="17"/>
              </w:numPr>
              <w:tabs>
                <w:tab w:val="left" w:pos="341"/>
              </w:tabs>
              <w:spacing w:before="15" w:after="0" w:line="240" w:lineRule="auto"/>
              <w:ind w:left="340" w:right="0" w:hanging="241"/>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其他供应商代表：</w:t>
            </w:r>
          </w:p>
        </w:tc>
      </w:tr>
      <w:tr w14:paraId="407AB8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jc w:val="center"/>
        </w:trPr>
        <w:tc>
          <w:tcPr>
            <w:tcW w:w="2317" w:type="dxa"/>
          </w:tcPr>
          <w:p w14:paraId="7F67927B">
            <w:pPr>
              <w:pStyle w:val="28"/>
              <w:spacing w:before="9" w:line="240" w:lineRule="auto"/>
              <w:rPr>
                <w:rFonts w:hint="eastAsia" w:ascii="宋体" w:hAnsi="宋体" w:eastAsia="宋体" w:cs="宋体"/>
                <w:b/>
                <w:color w:val="auto"/>
                <w:sz w:val="22"/>
                <w:szCs w:val="22"/>
                <w:highlight w:val="none"/>
              </w:rPr>
            </w:pPr>
          </w:p>
          <w:p w14:paraId="695C8A0C">
            <w:pPr>
              <w:pStyle w:val="28"/>
              <w:spacing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验收评价及结论</w:t>
            </w:r>
          </w:p>
        </w:tc>
        <w:tc>
          <w:tcPr>
            <w:tcW w:w="8235" w:type="dxa"/>
            <w:gridSpan w:val="4"/>
          </w:tcPr>
          <w:p w14:paraId="79AABF69">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评价：</w:t>
            </w:r>
          </w:p>
          <w:p w14:paraId="16EA996A">
            <w:pPr>
              <w:pStyle w:val="28"/>
              <w:spacing w:before="104"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结论：☐通过 ☐不通过，具体说明：</w:t>
            </w:r>
          </w:p>
        </w:tc>
      </w:tr>
      <w:tr w14:paraId="655DA1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0AD1C840">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验收人员签字</w:t>
            </w:r>
          </w:p>
        </w:tc>
        <w:tc>
          <w:tcPr>
            <w:tcW w:w="4922" w:type="dxa"/>
            <w:tcBorders>
              <w:right w:val="nil"/>
            </w:tcBorders>
          </w:tcPr>
          <w:p w14:paraId="16EB5ABC">
            <w:pPr>
              <w:pStyle w:val="28"/>
              <w:spacing w:line="240" w:lineRule="auto"/>
              <w:rPr>
                <w:rFonts w:hint="eastAsia" w:ascii="宋体" w:hAnsi="宋体" w:eastAsia="宋体" w:cs="宋体"/>
                <w:color w:val="auto"/>
                <w:sz w:val="22"/>
                <w:szCs w:val="22"/>
                <w:highlight w:val="none"/>
              </w:rPr>
            </w:pPr>
          </w:p>
        </w:tc>
        <w:tc>
          <w:tcPr>
            <w:tcW w:w="2467" w:type="dxa"/>
            <w:tcBorders>
              <w:left w:val="nil"/>
              <w:right w:val="nil"/>
            </w:tcBorders>
          </w:tcPr>
          <w:p w14:paraId="5C0E4654">
            <w:pPr>
              <w:pStyle w:val="28"/>
              <w:spacing w:before="60" w:line="240" w:lineRule="auto"/>
              <w:ind w:right="113"/>
              <w:jc w:val="right"/>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年</w:t>
            </w:r>
          </w:p>
        </w:tc>
        <w:tc>
          <w:tcPr>
            <w:tcW w:w="432" w:type="dxa"/>
            <w:tcBorders>
              <w:left w:val="nil"/>
              <w:right w:val="nil"/>
            </w:tcBorders>
          </w:tcPr>
          <w:p w14:paraId="21F7BBD2">
            <w:pPr>
              <w:pStyle w:val="28"/>
              <w:spacing w:before="60" w:line="240" w:lineRule="auto"/>
              <w:ind w:left="9"/>
              <w:jc w:val="center"/>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月</w:t>
            </w:r>
          </w:p>
        </w:tc>
        <w:tc>
          <w:tcPr>
            <w:tcW w:w="414" w:type="dxa"/>
            <w:tcBorders>
              <w:left w:val="nil"/>
            </w:tcBorders>
          </w:tcPr>
          <w:p w14:paraId="46005D82">
            <w:pPr>
              <w:pStyle w:val="28"/>
              <w:spacing w:before="60" w:line="240" w:lineRule="auto"/>
              <w:ind w:right="87"/>
              <w:jc w:val="right"/>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日</w:t>
            </w:r>
          </w:p>
        </w:tc>
      </w:tr>
      <w:tr w14:paraId="484E03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9" w:hRule="atLeast"/>
          <w:jc w:val="center"/>
        </w:trPr>
        <w:tc>
          <w:tcPr>
            <w:tcW w:w="2317" w:type="dxa"/>
          </w:tcPr>
          <w:p w14:paraId="18328602">
            <w:pPr>
              <w:pStyle w:val="28"/>
              <w:spacing w:before="60" w:line="240" w:lineRule="auto"/>
              <w:ind w:left="100" w:right="86"/>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采购人确认意见（注：采购人委托代理机构验收时</w:t>
            </w:r>
          </w:p>
          <w:p w14:paraId="26981E1B">
            <w:pPr>
              <w:pStyle w:val="28"/>
              <w:spacing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适用）</w:t>
            </w:r>
          </w:p>
        </w:tc>
        <w:tc>
          <w:tcPr>
            <w:tcW w:w="4922" w:type="dxa"/>
            <w:tcBorders>
              <w:right w:val="nil"/>
            </w:tcBorders>
          </w:tcPr>
          <w:p w14:paraId="54C0FAC5">
            <w:pPr>
              <w:pStyle w:val="28"/>
              <w:numPr>
                <w:ilvl w:val="0"/>
                <w:numId w:val="18"/>
              </w:numPr>
              <w:tabs>
                <w:tab w:val="left" w:pos="274"/>
              </w:tabs>
              <w:spacing w:before="24" w:after="0" w:line="240" w:lineRule="auto"/>
              <w:ind w:left="273" w:right="0" w:hanging="174"/>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同意验收结论。</w:t>
            </w:r>
          </w:p>
          <w:p w14:paraId="78745CB8">
            <w:pPr>
              <w:pStyle w:val="28"/>
              <w:numPr>
                <w:ilvl w:val="0"/>
                <w:numId w:val="18"/>
              </w:numPr>
              <w:tabs>
                <w:tab w:val="left" w:pos="274"/>
              </w:tabs>
              <w:spacing w:before="15" w:after="0" w:line="240" w:lineRule="auto"/>
              <w:ind w:left="273" w:right="0" w:hanging="174"/>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不同意验收结论。具体说明：</w:t>
            </w:r>
          </w:p>
        </w:tc>
        <w:tc>
          <w:tcPr>
            <w:tcW w:w="2467" w:type="dxa"/>
            <w:tcBorders>
              <w:left w:val="nil"/>
              <w:right w:val="nil"/>
            </w:tcBorders>
          </w:tcPr>
          <w:p w14:paraId="4B189116">
            <w:pPr>
              <w:pStyle w:val="28"/>
              <w:spacing w:line="240" w:lineRule="auto"/>
              <w:rPr>
                <w:rFonts w:hint="eastAsia" w:ascii="宋体" w:hAnsi="宋体" w:eastAsia="宋体" w:cs="宋体"/>
                <w:b/>
                <w:color w:val="auto"/>
                <w:sz w:val="22"/>
                <w:szCs w:val="22"/>
                <w:highlight w:val="none"/>
              </w:rPr>
            </w:pPr>
          </w:p>
          <w:p w14:paraId="683377B8">
            <w:pPr>
              <w:pStyle w:val="28"/>
              <w:spacing w:line="240" w:lineRule="auto"/>
              <w:rPr>
                <w:rFonts w:hint="eastAsia" w:ascii="宋体" w:hAnsi="宋体" w:eastAsia="宋体" w:cs="宋体"/>
                <w:b/>
                <w:color w:val="auto"/>
                <w:sz w:val="22"/>
                <w:szCs w:val="22"/>
                <w:highlight w:val="none"/>
              </w:rPr>
            </w:pPr>
          </w:p>
          <w:p w14:paraId="563DB24E">
            <w:pPr>
              <w:pStyle w:val="28"/>
              <w:spacing w:line="240" w:lineRule="auto"/>
              <w:rPr>
                <w:rFonts w:hint="eastAsia" w:ascii="宋体" w:hAnsi="宋体" w:eastAsia="宋体" w:cs="宋体"/>
                <w:b/>
                <w:color w:val="auto"/>
                <w:sz w:val="22"/>
                <w:szCs w:val="22"/>
                <w:highlight w:val="none"/>
              </w:rPr>
            </w:pPr>
          </w:p>
          <w:p w14:paraId="3D6E76BE">
            <w:pPr>
              <w:pStyle w:val="28"/>
              <w:spacing w:before="137" w:line="240" w:lineRule="auto"/>
              <w:ind w:right="113"/>
              <w:jc w:val="right"/>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年</w:t>
            </w:r>
          </w:p>
        </w:tc>
        <w:tc>
          <w:tcPr>
            <w:tcW w:w="432" w:type="dxa"/>
            <w:tcBorders>
              <w:left w:val="nil"/>
              <w:right w:val="nil"/>
            </w:tcBorders>
          </w:tcPr>
          <w:p w14:paraId="70DA3A4A">
            <w:pPr>
              <w:pStyle w:val="28"/>
              <w:spacing w:line="240" w:lineRule="auto"/>
              <w:rPr>
                <w:rFonts w:hint="eastAsia" w:ascii="宋体" w:hAnsi="宋体" w:eastAsia="宋体" w:cs="宋体"/>
                <w:b/>
                <w:color w:val="auto"/>
                <w:sz w:val="22"/>
                <w:szCs w:val="22"/>
                <w:highlight w:val="none"/>
              </w:rPr>
            </w:pPr>
          </w:p>
          <w:p w14:paraId="3C3A847C">
            <w:pPr>
              <w:pStyle w:val="28"/>
              <w:spacing w:line="240" w:lineRule="auto"/>
              <w:rPr>
                <w:rFonts w:hint="eastAsia" w:ascii="宋体" w:hAnsi="宋体" w:eastAsia="宋体" w:cs="宋体"/>
                <w:b/>
                <w:color w:val="auto"/>
                <w:sz w:val="22"/>
                <w:szCs w:val="22"/>
                <w:highlight w:val="none"/>
              </w:rPr>
            </w:pPr>
          </w:p>
          <w:p w14:paraId="2B6A93FE">
            <w:pPr>
              <w:pStyle w:val="28"/>
              <w:spacing w:line="240" w:lineRule="auto"/>
              <w:rPr>
                <w:rFonts w:hint="eastAsia" w:ascii="宋体" w:hAnsi="宋体" w:eastAsia="宋体" w:cs="宋体"/>
                <w:b/>
                <w:color w:val="auto"/>
                <w:sz w:val="22"/>
                <w:szCs w:val="22"/>
                <w:highlight w:val="none"/>
              </w:rPr>
            </w:pPr>
          </w:p>
          <w:p w14:paraId="6E53831D">
            <w:pPr>
              <w:pStyle w:val="28"/>
              <w:spacing w:before="137" w:line="240" w:lineRule="auto"/>
              <w:ind w:left="9"/>
              <w:jc w:val="center"/>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月</w:t>
            </w:r>
          </w:p>
        </w:tc>
        <w:tc>
          <w:tcPr>
            <w:tcW w:w="414" w:type="dxa"/>
            <w:tcBorders>
              <w:left w:val="nil"/>
            </w:tcBorders>
          </w:tcPr>
          <w:p w14:paraId="4231454E">
            <w:pPr>
              <w:pStyle w:val="28"/>
              <w:spacing w:line="240" w:lineRule="auto"/>
              <w:rPr>
                <w:rFonts w:hint="eastAsia" w:ascii="宋体" w:hAnsi="宋体" w:eastAsia="宋体" w:cs="宋体"/>
                <w:b/>
                <w:color w:val="auto"/>
                <w:sz w:val="22"/>
                <w:szCs w:val="22"/>
                <w:highlight w:val="none"/>
              </w:rPr>
            </w:pPr>
          </w:p>
          <w:p w14:paraId="14DEFD83">
            <w:pPr>
              <w:pStyle w:val="28"/>
              <w:spacing w:line="240" w:lineRule="auto"/>
              <w:rPr>
                <w:rFonts w:hint="eastAsia" w:ascii="宋体" w:hAnsi="宋体" w:eastAsia="宋体" w:cs="宋体"/>
                <w:b/>
                <w:color w:val="auto"/>
                <w:sz w:val="22"/>
                <w:szCs w:val="22"/>
                <w:highlight w:val="none"/>
              </w:rPr>
            </w:pPr>
          </w:p>
          <w:p w14:paraId="19B449CD">
            <w:pPr>
              <w:pStyle w:val="28"/>
              <w:spacing w:line="240" w:lineRule="auto"/>
              <w:rPr>
                <w:rFonts w:hint="eastAsia" w:ascii="宋体" w:hAnsi="宋体" w:eastAsia="宋体" w:cs="宋体"/>
                <w:b/>
                <w:color w:val="auto"/>
                <w:sz w:val="22"/>
                <w:szCs w:val="22"/>
                <w:highlight w:val="none"/>
              </w:rPr>
            </w:pPr>
          </w:p>
          <w:p w14:paraId="535F9AEE">
            <w:pPr>
              <w:pStyle w:val="28"/>
              <w:spacing w:before="137" w:line="240" w:lineRule="auto"/>
              <w:ind w:right="87"/>
              <w:jc w:val="right"/>
              <w:rPr>
                <w:rFonts w:hint="eastAsia" w:ascii="宋体" w:hAnsi="宋体" w:eastAsia="宋体" w:cs="宋体"/>
                <w:color w:val="auto"/>
                <w:sz w:val="22"/>
                <w:szCs w:val="22"/>
                <w:highlight w:val="none"/>
              </w:rPr>
            </w:pPr>
            <w:r>
              <w:rPr>
                <w:rFonts w:hint="eastAsia" w:ascii="宋体" w:hAnsi="宋体" w:eastAsia="宋体" w:cs="宋体"/>
                <w:color w:val="auto"/>
                <w:w w:val="101"/>
                <w:sz w:val="22"/>
                <w:szCs w:val="22"/>
                <w:highlight w:val="none"/>
              </w:rPr>
              <w:t>日</w:t>
            </w:r>
          </w:p>
        </w:tc>
      </w:tr>
      <w:tr w14:paraId="0AE6BB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2317" w:type="dxa"/>
          </w:tcPr>
          <w:p w14:paraId="62D31B6D">
            <w:pPr>
              <w:pStyle w:val="28"/>
              <w:spacing w:before="60" w:line="240" w:lineRule="auto"/>
              <w:ind w:left="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备注</w:t>
            </w:r>
          </w:p>
        </w:tc>
        <w:tc>
          <w:tcPr>
            <w:tcW w:w="8235" w:type="dxa"/>
            <w:gridSpan w:val="4"/>
          </w:tcPr>
          <w:p w14:paraId="367E8234">
            <w:pPr>
              <w:pStyle w:val="28"/>
              <w:spacing w:line="240" w:lineRule="auto"/>
              <w:rPr>
                <w:rFonts w:hint="eastAsia" w:ascii="宋体" w:hAnsi="宋体" w:eastAsia="宋体" w:cs="宋体"/>
                <w:color w:val="auto"/>
                <w:sz w:val="22"/>
                <w:szCs w:val="22"/>
                <w:highlight w:val="none"/>
              </w:rPr>
            </w:pPr>
          </w:p>
        </w:tc>
      </w:tr>
    </w:tbl>
    <w:p w14:paraId="7643D8CC">
      <w:pPr>
        <w:pStyle w:val="9"/>
        <w:spacing w:before="5"/>
        <w:ind w:left="0"/>
        <w:rPr>
          <w:b/>
          <w:color w:val="auto"/>
          <w:sz w:val="5"/>
          <w:highlight w:val="none"/>
        </w:rPr>
      </w:pPr>
    </w:p>
    <w:p w14:paraId="53488DE9">
      <w:pPr>
        <w:spacing w:after="0"/>
        <w:rPr>
          <w:color w:val="auto"/>
          <w:sz w:val="5"/>
          <w:highlight w:val="none"/>
        </w:rPr>
        <w:sectPr>
          <w:pgSz w:w="11900" w:h="16840"/>
          <w:pgMar w:top="1599" w:right="1259" w:bottom="1599" w:left="1259" w:header="720" w:footer="91" w:gutter="0"/>
          <w:pgNumType w:fmt="decimal"/>
          <w:cols w:space="0" w:num="1"/>
          <w:rtlGutter w:val="0"/>
          <w:docGrid w:linePitch="0" w:charSpace="0"/>
        </w:sectPr>
      </w:pPr>
    </w:p>
    <w:p w14:paraId="6886BC4A">
      <w:pPr>
        <w:pStyle w:val="9"/>
        <w:tabs>
          <w:tab w:val="left" w:pos="1162"/>
          <w:tab w:val="left" w:pos="1594"/>
        </w:tabs>
        <w:spacing w:before="53" w:line="379" w:lineRule="auto"/>
        <w:ind w:left="730" w:right="38" w:hanging="241"/>
        <w:rPr>
          <w:color w:val="auto"/>
          <w:sz w:val="24"/>
          <w:szCs w:val="24"/>
          <w:highlight w:val="none"/>
        </w:rPr>
      </w:pPr>
      <w:r>
        <w:rPr>
          <w:color w:val="auto"/>
          <w:sz w:val="24"/>
          <w:szCs w:val="24"/>
          <w:highlight w:val="none"/>
        </w:rPr>
        <w:t>采购人代表签字</w:t>
      </w:r>
      <w:r>
        <w:rPr>
          <w:color w:val="auto"/>
          <w:spacing w:val="-17"/>
          <w:sz w:val="24"/>
          <w:szCs w:val="24"/>
          <w:highlight w:val="none"/>
        </w:rPr>
        <w:t xml:space="preserve">： </w:t>
      </w: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14:paraId="0CBF9550">
      <w:pPr>
        <w:pStyle w:val="9"/>
        <w:tabs>
          <w:tab w:val="left" w:pos="1162"/>
          <w:tab w:val="left" w:pos="1594"/>
        </w:tabs>
        <w:spacing w:before="53" w:line="379" w:lineRule="auto"/>
        <w:ind w:left="730" w:right="3619" w:hanging="241"/>
        <w:rPr>
          <w:color w:val="auto"/>
          <w:sz w:val="24"/>
          <w:szCs w:val="24"/>
          <w:highlight w:val="none"/>
        </w:rPr>
      </w:pPr>
      <w:r>
        <w:rPr>
          <w:color w:val="auto"/>
          <w:sz w:val="24"/>
          <w:szCs w:val="24"/>
          <w:highlight w:val="none"/>
        </w:rPr>
        <w:t>供应商代表签字</w:t>
      </w:r>
      <w:r>
        <w:rPr>
          <w:color w:val="auto"/>
          <w:spacing w:val="-18"/>
          <w:sz w:val="24"/>
          <w:szCs w:val="24"/>
          <w:highlight w:val="none"/>
        </w:rPr>
        <w:t xml:space="preserve">： </w:t>
      </w:r>
      <w:r>
        <w:rPr>
          <w:color w:val="auto"/>
          <w:sz w:val="24"/>
          <w:szCs w:val="24"/>
          <w:highlight w:val="none"/>
        </w:rPr>
        <w:t>年</w:t>
      </w:r>
      <w:r>
        <w:rPr>
          <w:color w:val="auto"/>
          <w:sz w:val="24"/>
          <w:szCs w:val="24"/>
          <w:highlight w:val="none"/>
        </w:rPr>
        <w:tab/>
      </w:r>
      <w:r>
        <w:rPr>
          <w:color w:val="auto"/>
          <w:sz w:val="24"/>
          <w:szCs w:val="24"/>
          <w:highlight w:val="none"/>
        </w:rPr>
        <w:t>月</w:t>
      </w:r>
      <w:r>
        <w:rPr>
          <w:color w:val="auto"/>
          <w:sz w:val="24"/>
          <w:szCs w:val="24"/>
          <w:highlight w:val="none"/>
        </w:rPr>
        <w:tab/>
      </w:r>
      <w:r>
        <w:rPr>
          <w:color w:val="auto"/>
          <w:sz w:val="24"/>
          <w:szCs w:val="24"/>
          <w:highlight w:val="none"/>
        </w:rPr>
        <w:t>日</w:t>
      </w:r>
    </w:p>
    <w:p w14:paraId="650D572E">
      <w:pPr>
        <w:spacing w:after="0" w:line="379" w:lineRule="auto"/>
        <w:rPr>
          <w:color w:val="auto"/>
          <w:sz w:val="24"/>
          <w:szCs w:val="24"/>
          <w:highlight w:val="none"/>
        </w:rPr>
        <w:sectPr>
          <w:type w:val="continuous"/>
          <w:pgSz w:w="11900" w:h="16840"/>
          <w:pgMar w:top="1599" w:right="1259" w:bottom="1599" w:left="1259" w:header="720" w:footer="91" w:gutter="0"/>
          <w:pgNumType w:fmt="decimal"/>
          <w:cols w:space="0" w:num="1"/>
          <w:rtlGutter w:val="0"/>
          <w:docGrid w:linePitch="0" w:charSpace="0"/>
        </w:sectPr>
      </w:pPr>
    </w:p>
    <w:p w14:paraId="5A13182F">
      <w:pPr>
        <w:pStyle w:val="2"/>
        <w:rPr>
          <w:color w:val="auto"/>
          <w:highlight w:val="none"/>
        </w:rPr>
      </w:pPr>
      <w:bookmarkStart w:id="270" w:name="_Toc474"/>
      <w:r>
        <w:rPr>
          <w:color w:val="auto"/>
          <w:highlight w:val="none"/>
        </w:rPr>
        <w:t>第七章 响应文件格式与要求</w:t>
      </w:r>
      <w:bookmarkEnd w:id="270"/>
    </w:p>
    <w:p w14:paraId="37005003">
      <w:pPr>
        <w:pStyle w:val="9"/>
        <w:spacing w:before="8"/>
        <w:ind w:left="0"/>
        <w:jc w:val="center"/>
        <w:rPr>
          <w:b/>
          <w:color w:val="auto"/>
          <w:sz w:val="33"/>
          <w:highlight w:val="none"/>
        </w:rPr>
      </w:pPr>
    </w:p>
    <w:p w14:paraId="246AB3B8">
      <w:pPr>
        <w:pStyle w:val="9"/>
        <w:jc w:val="center"/>
        <w:rPr>
          <w:color w:val="auto"/>
          <w:highlight w:val="none"/>
        </w:rPr>
      </w:pPr>
      <w:r>
        <w:rPr>
          <w:color w:val="auto"/>
          <w:highlight w:val="none"/>
        </w:rPr>
        <w:t>供应商按照以下格式编制响应文件。</w:t>
      </w:r>
    </w:p>
    <w:p w14:paraId="5D6A823B">
      <w:pPr>
        <w:spacing w:after="0"/>
        <w:rPr>
          <w:color w:val="auto"/>
          <w:highlight w:val="none"/>
        </w:rPr>
        <w:sectPr>
          <w:pgSz w:w="11900" w:h="16840"/>
          <w:pgMar w:top="1599" w:right="1259" w:bottom="1599" w:left="1259" w:header="720" w:footer="91" w:gutter="0"/>
          <w:pgNumType w:fmt="decimal"/>
          <w:cols w:space="0" w:num="1"/>
          <w:rtlGutter w:val="0"/>
          <w:docGrid w:linePitch="0" w:charSpace="0"/>
        </w:sectPr>
      </w:pPr>
    </w:p>
    <w:p w14:paraId="2EFC9137">
      <w:pPr>
        <w:pStyle w:val="4"/>
        <w:spacing w:before="64"/>
        <w:ind w:left="100"/>
        <w:rPr>
          <w:color w:val="auto"/>
          <w:sz w:val="28"/>
          <w:szCs w:val="28"/>
          <w:highlight w:val="none"/>
        </w:rPr>
      </w:pPr>
      <w:bookmarkStart w:id="271" w:name="_Toc4253"/>
      <w:bookmarkStart w:id="272" w:name="_Toc18339"/>
      <w:bookmarkStart w:id="273" w:name="_Toc18918"/>
      <w:bookmarkStart w:id="274" w:name="_Toc16902"/>
      <w:bookmarkStart w:id="275" w:name="_Toc82"/>
      <w:r>
        <w:rPr>
          <w:color w:val="auto"/>
          <w:sz w:val="28"/>
          <w:szCs w:val="28"/>
          <w:highlight w:val="none"/>
        </w:rPr>
        <w:t>响应文件封面格式：</w:t>
      </w:r>
      <w:bookmarkEnd w:id="271"/>
      <w:bookmarkEnd w:id="272"/>
      <w:bookmarkEnd w:id="273"/>
      <w:bookmarkEnd w:id="274"/>
      <w:bookmarkEnd w:id="275"/>
    </w:p>
    <w:p w14:paraId="74E5429B">
      <w:pPr>
        <w:pStyle w:val="9"/>
        <w:ind w:left="0"/>
        <w:rPr>
          <w:b/>
          <w:color w:val="auto"/>
          <w:sz w:val="28"/>
          <w:szCs w:val="28"/>
          <w:highlight w:val="none"/>
        </w:rPr>
      </w:pPr>
    </w:p>
    <w:p w14:paraId="66C15FFD">
      <w:pPr>
        <w:pStyle w:val="9"/>
        <w:spacing w:before="8"/>
        <w:ind w:left="0"/>
        <w:rPr>
          <w:b/>
          <w:color w:val="auto"/>
          <w:sz w:val="28"/>
          <w:szCs w:val="28"/>
          <w:highlight w:val="none"/>
        </w:rPr>
      </w:pPr>
    </w:p>
    <w:p w14:paraId="5CD729A6">
      <w:pPr>
        <w:pStyle w:val="9"/>
        <w:spacing w:before="8"/>
        <w:ind w:left="0"/>
        <w:rPr>
          <w:b/>
          <w:color w:val="auto"/>
          <w:sz w:val="28"/>
          <w:szCs w:val="28"/>
          <w:highlight w:val="none"/>
        </w:rPr>
      </w:pPr>
      <w:bookmarkStart w:id="276" w:name="_Toc24639"/>
    </w:p>
    <w:p w14:paraId="5F3C2ABB">
      <w:pPr>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sz w:val="32"/>
          <w:szCs w:val="32"/>
          <w:highlight w:val="none"/>
        </w:rPr>
      </w:pPr>
      <w:r>
        <w:rPr>
          <w:rFonts w:hint="eastAsia"/>
          <w:b/>
          <w:color w:val="auto"/>
          <w:sz w:val="28"/>
          <w:szCs w:val="28"/>
          <w:highlight w:val="none"/>
          <w:lang w:val="en-US" w:eastAsia="zh-CN"/>
        </w:rPr>
        <w:t xml:space="preserve">                                                      </w:t>
      </w:r>
      <w:r>
        <w:rPr>
          <w:rFonts w:hint="eastAsia"/>
          <w:sz w:val="28"/>
          <w:szCs w:val="28"/>
          <w:highlight w:val="none"/>
        </w:rPr>
        <w:t>（正本/副本）</w:t>
      </w:r>
    </w:p>
    <w:p w14:paraId="7B03932B">
      <w:pPr>
        <w:pStyle w:val="9"/>
        <w:spacing w:before="8"/>
        <w:ind w:left="0"/>
        <w:rPr>
          <w:rFonts w:hint="default" w:eastAsia="宋体"/>
          <w:b/>
          <w:color w:val="auto"/>
          <w:sz w:val="28"/>
          <w:szCs w:val="28"/>
          <w:highlight w:val="none"/>
          <w:lang w:val="en-US" w:eastAsia="zh-CN"/>
        </w:rPr>
      </w:pPr>
    </w:p>
    <w:p w14:paraId="5230D86F">
      <w:pPr>
        <w:pStyle w:val="9"/>
        <w:spacing w:before="8"/>
        <w:ind w:left="0"/>
        <w:rPr>
          <w:b/>
          <w:color w:val="auto"/>
          <w:sz w:val="28"/>
          <w:szCs w:val="28"/>
          <w:highlight w:val="none"/>
        </w:rPr>
      </w:pPr>
    </w:p>
    <w:p w14:paraId="47546EC0">
      <w:pPr>
        <w:pStyle w:val="9"/>
        <w:spacing w:before="8"/>
        <w:ind w:left="0"/>
        <w:rPr>
          <w:rFonts w:hint="default" w:eastAsia="宋体"/>
          <w:b/>
          <w:color w:val="auto"/>
          <w:sz w:val="28"/>
          <w:szCs w:val="28"/>
          <w:highlight w:val="none"/>
          <w:lang w:val="en-US" w:eastAsia="zh-CN"/>
        </w:rPr>
      </w:pPr>
      <w:r>
        <w:rPr>
          <w:rFonts w:hint="eastAsia"/>
          <w:b/>
          <w:color w:val="auto"/>
          <w:sz w:val="28"/>
          <w:szCs w:val="28"/>
          <w:highlight w:val="none"/>
          <w:lang w:val="en-US" w:eastAsia="zh-CN"/>
        </w:rPr>
        <w:t xml:space="preserve">                                                    </w:t>
      </w:r>
    </w:p>
    <w:p w14:paraId="598A7E0A">
      <w:pPr>
        <w:pStyle w:val="9"/>
        <w:spacing w:before="8"/>
        <w:ind w:left="0"/>
        <w:rPr>
          <w:b/>
          <w:color w:val="auto"/>
          <w:sz w:val="28"/>
          <w:szCs w:val="28"/>
          <w:highlight w:val="none"/>
        </w:rPr>
      </w:pPr>
    </w:p>
    <w:p w14:paraId="533E7DF2">
      <w:pPr>
        <w:pStyle w:val="9"/>
        <w:spacing w:before="8"/>
        <w:ind w:left="0"/>
        <w:rPr>
          <w:b/>
          <w:color w:val="auto"/>
          <w:sz w:val="28"/>
          <w:szCs w:val="28"/>
          <w:highlight w:val="none"/>
        </w:rPr>
      </w:pPr>
    </w:p>
    <w:p w14:paraId="3A699F62">
      <w:pPr>
        <w:pStyle w:val="5"/>
        <w:keepNext w:val="0"/>
        <w:keepLines w:val="0"/>
        <w:pageBreakBefore w:val="0"/>
        <w:widowControl w:val="0"/>
        <w:kinsoku/>
        <w:wordWrap/>
        <w:overflowPunct/>
        <w:topLinePunct w:val="0"/>
        <w:autoSpaceDE w:val="0"/>
        <w:autoSpaceDN w:val="0"/>
        <w:bidi w:val="0"/>
        <w:adjustRightInd/>
        <w:snapToGrid/>
        <w:spacing w:before="0" w:line="360" w:lineRule="auto"/>
        <w:ind w:left="279" w:leftChars="127" w:right="0" w:firstLine="3095" w:firstLineChars="1101"/>
        <w:jc w:val="both"/>
        <w:textAlignment w:val="auto"/>
        <w:rPr>
          <w:color w:val="auto"/>
          <w:sz w:val="28"/>
          <w:szCs w:val="28"/>
          <w:highlight w:val="none"/>
        </w:rPr>
      </w:pPr>
      <w:r>
        <w:rPr>
          <w:color w:val="auto"/>
          <w:sz w:val="28"/>
          <w:szCs w:val="28"/>
          <w:highlight w:val="none"/>
        </w:rPr>
        <w:t>（项目名称） 响应文件</w:t>
      </w:r>
    </w:p>
    <w:p w14:paraId="4DBB980C">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jc w:val="both"/>
        <w:textAlignment w:val="auto"/>
        <w:rPr>
          <w:color w:val="auto"/>
          <w:sz w:val="28"/>
          <w:szCs w:val="28"/>
          <w:highlight w:val="none"/>
        </w:rPr>
        <w:sectPr>
          <w:pgSz w:w="11900" w:h="16840"/>
          <w:pgMar w:top="1599" w:right="1259" w:bottom="1599" w:left="1259" w:header="720" w:footer="91" w:gutter="0"/>
          <w:pgNumType w:fmt="decimal"/>
          <w:cols w:space="0" w:num="1"/>
          <w:rtlGutter w:val="0"/>
          <w:docGrid w:linePitch="0" w:charSpace="0"/>
        </w:sectPr>
      </w:pPr>
    </w:p>
    <w:p w14:paraId="66F6A8B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color w:val="auto"/>
          <w:sz w:val="28"/>
          <w:szCs w:val="28"/>
          <w:highlight w:val="none"/>
        </w:rPr>
      </w:pPr>
    </w:p>
    <w:p w14:paraId="261D6F7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color w:val="auto"/>
          <w:sz w:val="28"/>
          <w:szCs w:val="28"/>
          <w:highlight w:val="none"/>
        </w:rPr>
      </w:pPr>
      <w:r>
        <w:rPr>
          <w:color w:val="auto"/>
          <w:sz w:val="28"/>
          <w:szCs w:val="28"/>
          <w:highlight w:val="none"/>
        </w:rPr>
        <w:t>项目编号：</w:t>
      </w:r>
    </w:p>
    <w:p w14:paraId="5A62257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color w:val="auto"/>
          <w:sz w:val="28"/>
          <w:szCs w:val="28"/>
          <w:highlight w:val="none"/>
        </w:rPr>
      </w:pPr>
    </w:p>
    <w:p w14:paraId="714541DC">
      <w:pPr>
        <w:pStyle w:val="9"/>
        <w:ind w:left="0"/>
        <w:rPr>
          <w:color w:val="auto"/>
          <w:sz w:val="28"/>
          <w:szCs w:val="28"/>
          <w:highlight w:val="none"/>
        </w:rPr>
      </w:pPr>
    </w:p>
    <w:p w14:paraId="0B8D8AC1">
      <w:pPr>
        <w:pStyle w:val="9"/>
        <w:ind w:left="0"/>
        <w:rPr>
          <w:color w:val="auto"/>
          <w:sz w:val="28"/>
          <w:szCs w:val="28"/>
          <w:highlight w:val="none"/>
        </w:rPr>
      </w:pPr>
    </w:p>
    <w:p w14:paraId="6E0AC9B3">
      <w:pPr>
        <w:pStyle w:val="9"/>
        <w:ind w:left="0"/>
        <w:rPr>
          <w:color w:val="auto"/>
          <w:sz w:val="28"/>
          <w:szCs w:val="28"/>
          <w:highlight w:val="none"/>
        </w:rPr>
      </w:pPr>
    </w:p>
    <w:p w14:paraId="6974DC04">
      <w:pPr>
        <w:pStyle w:val="9"/>
        <w:ind w:left="0"/>
        <w:rPr>
          <w:color w:val="auto"/>
          <w:sz w:val="28"/>
          <w:szCs w:val="28"/>
          <w:highlight w:val="none"/>
        </w:rPr>
      </w:pPr>
    </w:p>
    <w:p w14:paraId="3302EC05">
      <w:pPr>
        <w:pStyle w:val="9"/>
        <w:ind w:left="0"/>
        <w:rPr>
          <w:color w:val="auto"/>
          <w:sz w:val="28"/>
          <w:szCs w:val="28"/>
          <w:highlight w:val="none"/>
        </w:rPr>
      </w:pPr>
    </w:p>
    <w:p w14:paraId="5E1C6D84">
      <w:pPr>
        <w:pStyle w:val="9"/>
        <w:ind w:left="0"/>
        <w:rPr>
          <w:color w:val="auto"/>
          <w:sz w:val="28"/>
          <w:szCs w:val="28"/>
          <w:highlight w:val="none"/>
        </w:rPr>
      </w:pPr>
    </w:p>
    <w:p w14:paraId="4C85AA13">
      <w:pPr>
        <w:pStyle w:val="9"/>
        <w:ind w:left="0"/>
        <w:rPr>
          <w:color w:val="auto"/>
          <w:sz w:val="28"/>
          <w:szCs w:val="28"/>
          <w:highlight w:val="none"/>
        </w:rPr>
      </w:pPr>
    </w:p>
    <w:p w14:paraId="797DF1A6">
      <w:pPr>
        <w:pStyle w:val="9"/>
        <w:ind w:left="0"/>
        <w:rPr>
          <w:color w:val="auto"/>
          <w:sz w:val="28"/>
          <w:szCs w:val="28"/>
          <w:highlight w:val="none"/>
        </w:rPr>
      </w:pPr>
    </w:p>
    <w:p w14:paraId="60C2BAA5">
      <w:pPr>
        <w:pStyle w:val="9"/>
        <w:ind w:left="0"/>
        <w:rPr>
          <w:color w:val="auto"/>
          <w:sz w:val="28"/>
          <w:szCs w:val="28"/>
          <w:highlight w:val="none"/>
        </w:rPr>
      </w:pPr>
    </w:p>
    <w:p w14:paraId="67FF2C59">
      <w:pPr>
        <w:pStyle w:val="9"/>
        <w:ind w:left="0"/>
        <w:rPr>
          <w:color w:val="auto"/>
          <w:sz w:val="28"/>
          <w:szCs w:val="28"/>
          <w:highlight w:val="none"/>
        </w:rPr>
      </w:pPr>
    </w:p>
    <w:p w14:paraId="0731B8AA">
      <w:pPr>
        <w:pStyle w:val="9"/>
        <w:ind w:left="0"/>
        <w:rPr>
          <w:color w:val="auto"/>
          <w:sz w:val="28"/>
          <w:szCs w:val="28"/>
          <w:highlight w:val="none"/>
        </w:rPr>
      </w:pPr>
    </w:p>
    <w:p w14:paraId="16A29A9D">
      <w:pPr>
        <w:pStyle w:val="9"/>
        <w:ind w:left="0"/>
        <w:rPr>
          <w:color w:val="auto"/>
          <w:sz w:val="28"/>
          <w:szCs w:val="28"/>
          <w:highlight w:val="none"/>
        </w:rPr>
      </w:pPr>
    </w:p>
    <w:p w14:paraId="69CDE02A">
      <w:pPr>
        <w:pStyle w:val="9"/>
        <w:ind w:left="0"/>
        <w:rPr>
          <w:color w:val="auto"/>
          <w:sz w:val="28"/>
          <w:szCs w:val="28"/>
          <w:highlight w:val="none"/>
        </w:rPr>
      </w:pPr>
    </w:p>
    <w:p w14:paraId="6087C44E">
      <w:pPr>
        <w:pStyle w:val="9"/>
        <w:spacing w:before="8"/>
        <w:ind w:left="0"/>
        <w:rPr>
          <w:color w:val="auto"/>
          <w:sz w:val="28"/>
          <w:szCs w:val="28"/>
          <w:highlight w:val="none"/>
        </w:rPr>
      </w:pPr>
    </w:p>
    <w:p w14:paraId="7459ECAB">
      <w:pPr>
        <w:pStyle w:val="9"/>
        <w:spacing w:before="76"/>
        <w:ind w:left="730" w:right="391"/>
        <w:jc w:val="center"/>
        <w:rPr>
          <w:color w:val="auto"/>
          <w:sz w:val="18"/>
          <w:highlight w:val="none"/>
        </w:rPr>
      </w:pPr>
      <w:r>
        <w:rPr>
          <w:color w:val="auto"/>
          <w:sz w:val="28"/>
          <w:szCs w:val="28"/>
          <w:highlight w:val="none"/>
        </w:rPr>
        <w:t>（供应商名称）（盖章）</w:t>
      </w:r>
    </w:p>
    <w:p w14:paraId="1602BB29">
      <w:pPr>
        <w:pStyle w:val="9"/>
        <w:ind w:left="0"/>
        <w:rPr>
          <w:color w:val="auto"/>
          <w:sz w:val="18"/>
          <w:highlight w:val="none"/>
        </w:rPr>
      </w:pPr>
    </w:p>
    <w:p w14:paraId="5D869A08">
      <w:pPr>
        <w:pStyle w:val="9"/>
        <w:ind w:left="0"/>
        <w:rPr>
          <w:color w:val="auto"/>
          <w:sz w:val="18"/>
          <w:highlight w:val="none"/>
        </w:rPr>
      </w:pPr>
    </w:p>
    <w:p w14:paraId="7CC73A51">
      <w:pPr>
        <w:pStyle w:val="9"/>
        <w:spacing w:before="6"/>
        <w:ind w:left="0"/>
        <w:rPr>
          <w:color w:val="auto"/>
          <w:sz w:val="25"/>
          <w:highlight w:val="none"/>
        </w:rPr>
      </w:pPr>
    </w:p>
    <w:p w14:paraId="79EAB617">
      <w:pPr>
        <w:pStyle w:val="9"/>
        <w:tabs>
          <w:tab w:val="left" w:pos="771"/>
          <w:tab w:val="left" w:pos="1203"/>
        </w:tabs>
        <w:ind w:firstLine="3360" w:firstLineChars="1200"/>
        <w:jc w:val="both"/>
        <w:rPr>
          <w:color w:val="auto"/>
          <w:sz w:val="28"/>
          <w:szCs w:val="28"/>
          <w:highlight w:val="none"/>
        </w:rPr>
      </w:pPr>
      <w:r>
        <w:rPr>
          <w:color w:val="auto"/>
          <w:sz w:val="28"/>
          <w:szCs w:val="28"/>
          <w:highlight w:val="none"/>
        </w:rPr>
        <w:t>年</w:t>
      </w:r>
      <w:r>
        <w:rPr>
          <w:rFonts w:hint="eastAsia"/>
          <w:color w:val="auto"/>
          <w:sz w:val="28"/>
          <w:szCs w:val="28"/>
          <w:highlight w:val="none"/>
          <w:lang w:val="en-US" w:eastAsia="zh-CN"/>
        </w:rPr>
        <w:t xml:space="preserve">  </w:t>
      </w:r>
      <w:r>
        <w:rPr>
          <w:color w:val="auto"/>
          <w:sz w:val="28"/>
          <w:szCs w:val="28"/>
          <w:highlight w:val="none"/>
        </w:rPr>
        <w:t>月</w:t>
      </w:r>
      <w:r>
        <w:rPr>
          <w:color w:val="auto"/>
          <w:sz w:val="28"/>
          <w:szCs w:val="28"/>
          <w:highlight w:val="none"/>
        </w:rPr>
        <w:tab/>
      </w:r>
      <w:r>
        <w:rPr>
          <w:color w:val="auto"/>
          <w:sz w:val="28"/>
          <w:szCs w:val="28"/>
          <w:highlight w:val="none"/>
        </w:rPr>
        <w:t>日</w:t>
      </w:r>
    </w:p>
    <w:p w14:paraId="3141AA90">
      <w:pPr>
        <w:spacing w:after="0"/>
        <w:jc w:val="center"/>
        <w:rPr>
          <w:color w:val="auto"/>
          <w:sz w:val="40"/>
          <w:szCs w:val="40"/>
          <w:highlight w:val="none"/>
        </w:rPr>
        <w:sectPr>
          <w:type w:val="continuous"/>
          <w:pgSz w:w="11900" w:h="16840"/>
          <w:pgMar w:top="1599" w:right="1259" w:bottom="1599" w:left="1259" w:header="720" w:footer="91" w:gutter="0"/>
          <w:pgNumType w:fmt="decimal"/>
          <w:cols w:space="0" w:num="1"/>
          <w:rtlGutter w:val="0"/>
          <w:docGrid w:linePitch="0" w:charSpace="0"/>
        </w:sectPr>
      </w:pPr>
    </w:p>
    <w:p w14:paraId="35EEA737">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rFonts w:ascii="Lucida Sans Unicode" w:eastAsia="Lucida Sans Unicode"/>
          <w:b w:val="0"/>
          <w:color w:val="auto"/>
          <w:highlight w:val="none"/>
        </w:rPr>
      </w:pPr>
      <w:bookmarkStart w:id="277" w:name="_Toc14978"/>
      <w:bookmarkStart w:id="278" w:name="_Toc14631"/>
      <w:bookmarkStart w:id="279" w:name="_Toc9186"/>
      <w:bookmarkStart w:id="280" w:name="_Toc22892"/>
      <w:r>
        <w:rPr>
          <w:color w:val="auto"/>
          <w:w w:val="110"/>
          <w:highlight w:val="none"/>
        </w:rPr>
        <w:t>响应文件目录格式</w:t>
      </w:r>
      <w:r>
        <w:rPr>
          <w:rFonts w:ascii="Lucida Sans Unicode" w:eastAsia="Lucida Sans Unicode"/>
          <w:b w:val="0"/>
          <w:color w:val="auto"/>
          <w:w w:val="110"/>
          <w:highlight w:val="none"/>
        </w:rPr>
        <w:t>:</w:t>
      </w:r>
      <w:bookmarkEnd w:id="276"/>
      <w:bookmarkEnd w:id="277"/>
      <w:bookmarkEnd w:id="278"/>
      <w:bookmarkEnd w:id="279"/>
      <w:bookmarkEnd w:id="280"/>
    </w:p>
    <w:p w14:paraId="3AF9DC0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rFonts w:hint="eastAsia" w:ascii="宋体" w:hAnsi="宋体" w:eastAsia="宋体" w:cs="宋体"/>
          <w:color w:val="auto"/>
          <w:sz w:val="24"/>
          <w:szCs w:val="24"/>
          <w:highlight w:val="none"/>
        </w:rPr>
      </w:pPr>
    </w:p>
    <w:p w14:paraId="0046602A">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目 录</w:t>
      </w:r>
    </w:p>
    <w:p w14:paraId="5C25F50D">
      <w:pPr>
        <w:pStyle w:val="9"/>
        <w:keepNext w:val="0"/>
        <w:keepLines w:val="0"/>
        <w:pageBreakBefore w:val="0"/>
        <w:widowControl w:val="0"/>
        <w:numPr>
          <w:ilvl w:val="0"/>
          <w:numId w:val="19"/>
        </w:numPr>
        <w:kinsoku/>
        <w:wordWrap/>
        <w:overflowPunct/>
        <w:topLinePunct w:val="0"/>
        <w:autoSpaceDE w:val="0"/>
        <w:autoSpaceDN w:val="0"/>
        <w:bidi w:val="0"/>
        <w:adjustRightInd/>
        <w:snapToGrid/>
        <w:spacing w:before="0" w:line="360" w:lineRule="auto"/>
        <w:ind w:left="0" w:right="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响应承诺书</w:t>
      </w:r>
    </w:p>
    <w:p w14:paraId="0EC62616">
      <w:pPr>
        <w:pStyle w:val="9"/>
        <w:keepNext w:val="0"/>
        <w:keepLines w:val="0"/>
        <w:pageBreakBefore w:val="0"/>
        <w:widowControl w:val="0"/>
        <w:numPr>
          <w:ilvl w:val="0"/>
          <w:numId w:val="19"/>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首轮</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表</w:t>
      </w:r>
    </w:p>
    <w:p w14:paraId="13842599">
      <w:pPr>
        <w:pStyle w:val="9"/>
        <w:keepNext w:val="0"/>
        <w:keepLines w:val="0"/>
        <w:pageBreakBefore w:val="0"/>
        <w:widowControl w:val="0"/>
        <w:numPr>
          <w:ilvl w:val="0"/>
          <w:numId w:val="19"/>
        </w:numPr>
        <w:kinsoku/>
        <w:wordWrap/>
        <w:overflowPunct/>
        <w:topLinePunct w:val="0"/>
        <w:autoSpaceDE w:val="0"/>
        <w:autoSpaceDN w:val="0"/>
        <w:bidi w:val="0"/>
        <w:adjustRightInd/>
        <w:snapToGrid/>
        <w:spacing w:before="0" w:line="360" w:lineRule="auto"/>
        <w:ind w:left="0" w:leftChars="0" w:right="0" w:rightChars="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分项</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表</w:t>
      </w:r>
    </w:p>
    <w:p w14:paraId="1B8A6816">
      <w:pPr>
        <w:pStyle w:val="9"/>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right="0" w:rightChars="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四、授权委托书</w:t>
      </w:r>
    </w:p>
    <w:p w14:paraId="0EF4B04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五、缴纳磋商保证金证明材料</w:t>
      </w:r>
    </w:p>
    <w:p w14:paraId="64D2019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六、供应商基本情况表</w:t>
      </w:r>
    </w:p>
    <w:p w14:paraId="32EECF93">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七、具有独立承担民事责任的能力的证明材料</w:t>
      </w:r>
    </w:p>
    <w:p w14:paraId="1B94A98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textAlignment w:val="auto"/>
        <w:rPr>
          <w:rFonts w:hint="eastAsia" w:ascii="宋体" w:hAnsi="宋体" w:eastAsia="宋体" w:cs="宋体"/>
          <w:color w:val="auto"/>
          <w:spacing w:val="-1"/>
          <w:sz w:val="24"/>
          <w:szCs w:val="24"/>
          <w:highlight w:val="none"/>
        </w:rPr>
      </w:pPr>
      <w:r>
        <w:rPr>
          <w:rFonts w:hint="eastAsia" w:ascii="宋体" w:hAnsi="宋体" w:eastAsia="宋体" w:cs="宋体"/>
          <w:color w:val="auto"/>
          <w:spacing w:val="-1"/>
          <w:sz w:val="24"/>
          <w:szCs w:val="24"/>
          <w:highlight w:val="none"/>
        </w:rPr>
        <w:t>八、具有良好的商业信誉和健全的财务会计制度的相关材料</w:t>
      </w:r>
    </w:p>
    <w:p w14:paraId="3F12D01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九、依法缴纳税收和社会保障资金的良好记录的相关材料 </w:t>
      </w:r>
    </w:p>
    <w:p w14:paraId="36FB5C9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6"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1"/>
          <w:sz w:val="24"/>
          <w:szCs w:val="24"/>
          <w:highlight w:val="none"/>
        </w:rPr>
        <w:t>十、具有履行合同所必需的设备和专业技术能力的证明材料</w:t>
      </w:r>
    </w:p>
    <w:p w14:paraId="7B1C3F5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十一、参加政府采购活动前3年内在经营活动中没有重大违法记录的书面声明</w:t>
      </w:r>
    </w:p>
    <w:p w14:paraId="76FCF7D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十二、联合体协议书 </w:t>
      </w:r>
    </w:p>
    <w:p w14:paraId="354ECC7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2"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2"/>
          <w:sz w:val="24"/>
          <w:szCs w:val="24"/>
          <w:highlight w:val="none"/>
        </w:rPr>
        <w:t>十三、中小企业声明函</w:t>
      </w:r>
    </w:p>
    <w:p w14:paraId="78997DF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十四、监狱企业证明文件</w:t>
      </w:r>
    </w:p>
    <w:p w14:paraId="42C7AD7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十五、残疾人福利性单位声明函</w:t>
      </w:r>
    </w:p>
    <w:p w14:paraId="005DA23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十六、主要商务要求承诺书</w:t>
      </w:r>
    </w:p>
    <w:p w14:paraId="36A8D852">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十七、技术偏离表</w:t>
      </w:r>
    </w:p>
    <w:p w14:paraId="0A73598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十八、项目组成人员一览表</w:t>
      </w:r>
    </w:p>
    <w:p w14:paraId="32EA4CC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十九、项目实施方案、质量保证及售后服务承诺等</w:t>
      </w:r>
    </w:p>
    <w:p w14:paraId="48E8CAD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二十、供应商业绩情况表</w:t>
      </w:r>
    </w:p>
    <w:p w14:paraId="40CFDADA">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二十一、其他证明材料</w:t>
      </w:r>
    </w:p>
    <w:p w14:paraId="4962798F">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textAlignment w:val="auto"/>
        <w:rPr>
          <w:rFonts w:hint="eastAsia" w:ascii="宋体" w:hAnsi="宋体" w:eastAsia="宋体" w:cs="宋体"/>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0B20CFC2">
      <w:pPr>
        <w:pStyle w:val="4"/>
        <w:spacing w:before="64"/>
        <w:ind w:left="100"/>
        <w:jc w:val="left"/>
        <w:rPr>
          <w:color w:val="auto"/>
          <w:sz w:val="28"/>
          <w:szCs w:val="28"/>
          <w:highlight w:val="none"/>
        </w:rPr>
      </w:pPr>
      <w:bookmarkStart w:id="281" w:name="_Toc26005"/>
      <w:bookmarkStart w:id="282" w:name="_Toc1471"/>
      <w:bookmarkStart w:id="283" w:name="_Toc25329"/>
      <w:bookmarkStart w:id="284" w:name="_Toc1101"/>
      <w:bookmarkStart w:id="285" w:name="_Toc1848"/>
      <w:r>
        <w:rPr>
          <w:color w:val="auto"/>
          <w:sz w:val="28"/>
          <w:szCs w:val="28"/>
          <w:highlight w:val="none"/>
        </w:rPr>
        <w:t>响应文件正文格式：</w:t>
      </w:r>
      <w:bookmarkEnd w:id="281"/>
      <w:bookmarkEnd w:id="282"/>
      <w:bookmarkEnd w:id="283"/>
      <w:bookmarkEnd w:id="284"/>
      <w:bookmarkEnd w:id="285"/>
    </w:p>
    <w:p w14:paraId="0678D99F">
      <w:pPr>
        <w:pStyle w:val="9"/>
        <w:spacing w:before="1"/>
        <w:ind w:left="0"/>
        <w:jc w:val="center"/>
        <w:rPr>
          <w:b/>
          <w:color w:val="auto"/>
          <w:sz w:val="22"/>
          <w:highlight w:val="none"/>
        </w:rPr>
      </w:pPr>
    </w:p>
    <w:p w14:paraId="2287880B">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2" w:firstLineChars="20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一、响应承诺书</w:t>
      </w:r>
    </w:p>
    <w:p w14:paraId="23CFE0A3">
      <w:pPr>
        <w:pStyle w:val="9"/>
        <w:keepNext w:val="0"/>
        <w:keepLines w:val="0"/>
        <w:pageBreakBefore w:val="0"/>
        <w:widowControl w:val="0"/>
        <w:tabs>
          <w:tab w:val="left" w:pos="3370"/>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（采购单位名称和采购代理机构名称）</w:t>
      </w:r>
    </w:p>
    <w:p w14:paraId="3D8C23AF">
      <w:pPr>
        <w:pStyle w:val="9"/>
        <w:keepNext w:val="0"/>
        <w:keepLines w:val="0"/>
        <w:pageBreakBefore w:val="0"/>
        <w:widowControl w:val="0"/>
        <w:tabs>
          <w:tab w:val="left" w:pos="2410"/>
          <w:tab w:val="left" w:pos="6251"/>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pacing w:val="-18"/>
          <w:sz w:val="24"/>
          <w:szCs w:val="24"/>
          <w:highlight w:val="none"/>
        </w:rPr>
      </w:pPr>
      <w:r>
        <w:rPr>
          <w:rFonts w:hint="eastAsia" w:ascii="宋体" w:hAnsi="宋体" w:eastAsia="宋体" w:cs="宋体"/>
          <w:color w:val="auto"/>
          <w:sz w:val="24"/>
          <w:szCs w:val="24"/>
          <w:highlight w:val="none"/>
        </w:rPr>
        <w:t>你方组织的</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（项目名称）的采购，项目编号：</w:t>
      </w:r>
      <w:r>
        <w:rPr>
          <w:rFonts w:hint="eastAsia"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，我方自愿参与，并就有关事项郑重承诺如下</w:t>
      </w:r>
      <w:r>
        <w:rPr>
          <w:rFonts w:hint="eastAsia" w:ascii="宋体" w:hAnsi="宋体" w:eastAsia="宋体" w:cs="宋体"/>
          <w:color w:val="auto"/>
          <w:spacing w:val="-18"/>
          <w:sz w:val="24"/>
          <w:szCs w:val="24"/>
          <w:highlight w:val="none"/>
        </w:rPr>
        <w:t xml:space="preserve">： </w:t>
      </w:r>
    </w:p>
    <w:p w14:paraId="01E381ED">
      <w:pPr>
        <w:pStyle w:val="9"/>
        <w:keepNext w:val="0"/>
        <w:keepLines w:val="0"/>
        <w:pageBreakBefore w:val="0"/>
        <w:widowControl w:val="0"/>
        <w:tabs>
          <w:tab w:val="left" w:pos="2410"/>
          <w:tab w:val="left" w:pos="6251"/>
        </w:tabs>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一、我方完全理解并接受该项目磋商文件的所有要求。</w:t>
      </w:r>
    </w:p>
    <w:p w14:paraId="5412924F">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二、我方严格遵守《中华人民共和国政府采购法》《中华人民共和国民法典》及相关法律、法规的规定，如有违反，承担相应的法律责任。</w:t>
      </w:r>
    </w:p>
    <w:p w14:paraId="6DB9EE7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三、我方在</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表中的</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为响应总</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w:t>
      </w:r>
    </w:p>
    <w:p w14:paraId="6BC1E99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四、我方同意提供贵方要求的与磋商有关的任何数据和资料。</w:t>
      </w:r>
    </w:p>
    <w:p w14:paraId="65CBAA0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五、我方将按照磋商文件、响应文件等要求，签订并严格执行政府采购合同。</w:t>
      </w:r>
    </w:p>
    <w:p w14:paraId="73D69DE5">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六、我方响应</w:t>
      </w:r>
      <w:r>
        <w:rPr>
          <w:rFonts w:hint="eastAsia" w:ascii="宋体" w:hAnsi="宋体" w:eastAsia="宋体" w:cs="宋体"/>
          <w:color w:val="auto"/>
          <w:sz w:val="24"/>
          <w:szCs w:val="24"/>
          <w:highlight w:val="none"/>
          <w:lang w:eastAsia="zh-CN"/>
        </w:rPr>
        <w:t>响应</w:t>
      </w:r>
      <w:r>
        <w:rPr>
          <w:rFonts w:hint="eastAsia" w:ascii="宋体" w:hAnsi="宋体" w:eastAsia="宋体" w:cs="宋体"/>
          <w:color w:val="auto"/>
          <w:sz w:val="24"/>
          <w:szCs w:val="24"/>
          <w:highlight w:val="none"/>
        </w:rPr>
        <w:t>已包含应向知识产权所有权人支付的所有相关税费，并保证采购人在中国使用我方提供的货物时，如有第三方提出侵犯其知识产权主张的，责任由我方承担。</w:t>
      </w:r>
    </w:p>
    <w:p w14:paraId="2D06DB1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七、我方承诺未为本项目提供整体设计、规范编制或者项目管理、监理、检测等服务。</w:t>
      </w:r>
    </w:p>
    <w:p w14:paraId="168635C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八、我方提供的响应文件内容全部真实有效，如有虚假或隐瞒，我方愿意承担一切法律责任。</w:t>
      </w:r>
    </w:p>
    <w:p w14:paraId="0A5BDEF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九、若我方成交，愿意按有关规定及磋商文件要求缴纳代理服务费。若采购人支付代理服务费，则此条不适用。详细地址：</w:t>
      </w:r>
    </w:p>
    <w:p w14:paraId="10BA724C">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邮政编码： </w:t>
      </w:r>
    </w:p>
    <w:p w14:paraId="1CAD065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 话：</w:t>
      </w:r>
    </w:p>
    <w:p w14:paraId="7B52728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电子邮箱：</w:t>
      </w:r>
    </w:p>
    <w:p w14:paraId="706C717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68" w:firstLineChars="200"/>
        <w:textAlignment w:val="auto"/>
        <w:rPr>
          <w:rFonts w:hint="eastAsia" w:ascii="宋体" w:hAnsi="宋体" w:eastAsia="宋体" w:cs="宋体"/>
          <w:color w:val="auto"/>
          <w:spacing w:val="-3"/>
          <w:sz w:val="24"/>
          <w:szCs w:val="24"/>
          <w:highlight w:val="none"/>
        </w:rPr>
      </w:pPr>
      <w:r>
        <w:rPr>
          <w:rFonts w:hint="eastAsia" w:ascii="宋体" w:hAnsi="宋体" w:eastAsia="宋体" w:cs="宋体"/>
          <w:color w:val="auto"/>
          <w:spacing w:val="-3"/>
          <w:sz w:val="24"/>
          <w:szCs w:val="24"/>
          <w:highlight w:val="none"/>
        </w:rPr>
        <w:t xml:space="preserve">供应商开户银行： </w:t>
      </w:r>
    </w:p>
    <w:p w14:paraId="1158DE3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账号</w:t>
      </w:r>
      <w:r>
        <w:rPr>
          <w:rFonts w:hint="eastAsia" w:ascii="宋体" w:hAnsi="宋体" w:eastAsia="宋体" w:cs="宋体"/>
          <w:color w:val="auto"/>
          <w:spacing w:val="-5"/>
          <w:sz w:val="24"/>
          <w:szCs w:val="24"/>
          <w:highlight w:val="none"/>
        </w:rPr>
        <w:t>/</w:t>
      </w:r>
      <w:r>
        <w:rPr>
          <w:rFonts w:hint="eastAsia" w:ascii="宋体" w:hAnsi="宋体" w:eastAsia="宋体" w:cs="宋体"/>
          <w:color w:val="auto"/>
          <w:sz w:val="24"/>
          <w:szCs w:val="24"/>
          <w:highlight w:val="none"/>
        </w:rPr>
        <w:t>行号：</w:t>
      </w:r>
    </w:p>
    <w:p w14:paraId="101EBD4A">
      <w:pPr>
        <w:pStyle w:val="9"/>
        <w:keepNext w:val="0"/>
        <w:keepLines w:val="0"/>
        <w:pageBreakBefore w:val="0"/>
        <w:widowControl w:val="0"/>
        <w:kinsoku/>
        <w:wordWrap/>
        <w:overflowPunct/>
        <w:topLinePunct w:val="0"/>
        <w:autoSpaceDE w:val="0"/>
        <w:autoSpaceDN w:val="0"/>
        <w:bidi w:val="0"/>
        <w:adjustRightInd/>
        <w:snapToGrid/>
        <w:spacing w:before="0" w:line="360" w:lineRule="auto"/>
        <w:ind w:right="0" w:firstLine="6000" w:firstLineChars="25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供应商名称（盖章）：</w:t>
      </w:r>
    </w:p>
    <w:p w14:paraId="5BF56179">
      <w:pPr>
        <w:pStyle w:val="9"/>
        <w:keepNext w:val="0"/>
        <w:keepLines w:val="0"/>
        <w:pageBreakBefore w:val="0"/>
        <w:widowControl w:val="0"/>
        <w:kinsoku/>
        <w:wordWrap/>
        <w:overflowPunct/>
        <w:topLinePunct w:val="0"/>
        <w:autoSpaceDE w:val="0"/>
        <w:autoSpaceDN w:val="0"/>
        <w:bidi w:val="0"/>
        <w:adjustRightInd/>
        <w:snapToGrid/>
        <w:spacing w:before="0" w:line="360" w:lineRule="auto"/>
        <w:ind w:right="0"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cs="宋体"/>
          <w:color w:val="auto"/>
          <w:sz w:val="24"/>
          <w:szCs w:val="24"/>
          <w:highlight w:val="none"/>
          <w:lang w:val="en-US" w:eastAsia="zh-CN"/>
        </w:rPr>
        <w:t xml:space="preserve">       </w:t>
      </w:r>
      <w:r>
        <w:rPr>
          <w:rFonts w:hint="eastAsia" w:ascii="宋体" w:hAnsi="宋体" w:eastAsia="宋体" w:cs="宋体"/>
          <w:sz w:val="24"/>
          <w:szCs w:val="24"/>
        </w:rPr>
        <w:t>法定代表人：</w:t>
      </w:r>
      <w:r>
        <w:rPr>
          <w:rFonts w:hint="eastAsia" w:cs="宋体"/>
          <w:sz w:val="24"/>
          <w:szCs w:val="24"/>
          <w:u w:val="single"/>
          <w:lang w:val="en-US" w:eastAsia="zh-CN"/>
        </w:rPr>
        <w:t xml:space="preserve">       </w:t>
      </w:r>
    </w:p>
    <w:p w14:paraId="00C8154D">
      <w:pPr>
        <w:pStyle w:val="9"/>
        <w:keepNext w:val="0"/>
        <w:keepLines w:val="0"/>
        <w:pageBreakBefore w:val="0"/>
        <w:widowControl w:val="0"/>
        <w:tabs>
          <w:tab w:val="left" w:pos="432"/>
          <w:tab w:val="left" w:pos="864"/>
        </w:tabs>
        <w:kinsoku/>
        <w:wordWrap/>
        <w:overflowPunct/>
        <w:topLinePunct w:val="0"/>
        <w:autoSpaceDE w:val="0"/>
        <w:autoSpaceDN w:val="0"/>
        <w:bidi w:val="0"/>
        <w:adjustRightInd/>
        <w:snapToGrid/>
        <w:spacing w:before="0" w:line="360" w:lineRule="auto"/>
        <w:ind w:left="0" w:right="0" w:firstLine="480" w:firstLineChars="200"/>
        <w:jc w:val="center"/>
        <w:textAlignment w:val="auto"/>
        <w:rPr>
          <w:rFonts w:hint="eastAsia" w:ascii="宋体" w:hAnsi="宋体" w:eastAsia="宋体" w:cs="宋体"/>
          <w:color w:val="auto"/>
          <w:sz w:val="24"/>
          <w:szCs w:val="24"/>
          <w:highlight w:val="none"/>
        </w:rPr>
      </w:pP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年</w:t>
      </w:r>
      <w:r>
        <w:rPr>
          <w:rFonts w:hint="eastAsia"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日</w:t>
      </w:r>
    </w:p>
    <w:p w14:paraId="4F03E530">
      <w:pPr>
        <w:spacing w:after="0" w:line="243" w:lineRule="exact"/>
        <w:jc w:val="right"/>
        <w:rPr>
          <w:color w:val="auto"/>
          <w:highlight w:val="none"/>
        </w:rPr>
        <w:sectPr>
          <w:pgSz w:w="11900" w:h="16840"/>
          <w:pgMar w:top="1599" w:right="1259" w:bottom="1599" w:left="1259" w:header="720" w:footer="91" w:gutter="0"/>
          <w:pgNumType w:fmt="decimal"/>
          <w:cols w:space="0" w:num="1"/>
          <w:rtlGutter w:val="0"/>
          <w:docGrid w:linePitch="0" w:charSpace="0"/>
        </w:sectPr>
      </w:pPr>
    </w:p>
    <w:p w14:paraId="6E88B853">
      <w:pPr>
        <w:pStyle w:val="4"/>
        <w:keepNext w:val="0"/>
        <w:keepLines w:val="0"/>
        <w:pageBreakBefore w:val="0"/>
        <w:widowControl w:val="0"/>
        <w:kinsoku/>
        <w:wordWrap/>
        <w:overflowPunct/>
        <w:topLinePunct w:val="0"/>
        <w:autoSpaceDE w:val="0"/>
        <w:autoSpaceDN w:val="0"/>
        <w:bidi w:val="0"/>
        <w:adjustRightInd/>
        <w:snapToGrid/>
        <w:spacing w:before="0"/>
        <w:ind w:left="0" w:right="0"/>
        <w:jc w:val="center"/>
        <w:textAlignment w:val="auto"/>
        <w:rPr>
          <w:color w:val="auto"/>
          <w:sz w:val="24"/>
          <w:szCs w:val="24"/>
          <w:highlight w:val="none"/>
        </w:rPr>
      </w:pPr>
      <w:bookmarkStart w:id="286" w:name="_Toc26518"/>
      <w:bookmarkStart w:id="287" w:name="_Toc1533"/>
      <w:bookmarkStart w:id="288" w:name="_Toc17242"/>
      <w:bookmarkStart w:id="289" w:name="_Toc19117"/>
      <w:bookmarkStart w:id="290" w:name="_Toc29169"/>
      <w:r>
        <w:rPr>
          <w:color w:val="auto"/>
          <w:sz w:val="24"/>
          <w:szCs w:val="24"/>
          <w:highlight w:val="none"/>
        </w:rPr>
        <w:t>二、首轮</w:t>
      </w:r>
      <w:r>
        <w:rPr>
          <w:rFonts w:hint="eastAsia"/>
          <w:color w:val="auto"/>
          <w:sz w:val="24"/>
          <w:szCs w:val="24"/>
          <w:highlight w:val="none"/>
          <w:lang w:eastAsia="zh-CN"/>
        </w:rPr>
        <w:t>响应</w:t>
      </w:r>
      <w:r>
        <w:rPr>
          <w:color w:val="auto"/>
          <w:sz w:val="24"/>
          <w:szCs w:val="24"/>
          <w:highlight w:val="none"/>
        </w:rPr>
        <w:t>表</w:t>
      </w:r>
      <w:bookmarkEnd w:id="286"/>
      <w:bookmarkEnd w:id="287"/>
      <w:bookmarkEnd w:id="288"/>
      <w:bookmarkEnd w:id="289"/>
      <w:bookmarkEnd w:id="290"/>
    </w:p>
    <w:p w14:paraId="478EEC46">
      <w:pPr>
        <w:pStyle w:val="9"/>
        <w:keepNext w:val="0"/>
        <w:keepLines w:val="0"/>
        <w:pageBreakBefore w:val="0"/>
        <w:widowControl w:val="0"/>
        <w:kinsoku/>
        <w:wordWrap/>
        <w:overflowPunct/>
        <w:topLinePunct w:val="0"/>
        <w:autoSpaceDE w:val="0"/>
        <w:autoSpaceDN w:val="0"/>
        <w:bidi w:val="0"/>
        <w:adjustRightInd/>
        <w:snapToGrid/>
        <w:spacing w:before="0"/>
        <w:ind w:left="0" w:right="0"/>
        <w:jc w:val="center"/>
        <w:textAlignment w:val="auto"/>
        <w:rPr>
          <w:color w:val="auto"/>
          <w:sz w:val="24"/>
          <w:szCs w:val="24"/>
          <w:highlight w:val="none"/>
        </w:rPr>
      </w:pPr>
    </w:p>
    <w:p w14:paraId="7DF16BE3">
      <w:pPr>
        <w:pStyle w:val="9"/>
        <w:keepNext w:val="0"/>
        <w:keepLines w:val="0"/>
        <w:pageBreakBefore w:val="0"/>
        <w:widowControl w:val="0"/>
        <w:kinsoku/>
        <w:wordWrap/>
        <w:overflowPunct/>
        <w:topLinePunct w:val="0"/>
        <w:autoSpaceDE w:val="0"/>
        <w:autoSpaceDN w:val="0"/>
        <w:bidi w:val="0"/>
        <w:adjustRightInd/>
        <w:snapToGrid/>
        <w:spacing w:before="0"/>
        <w:ind w:left="0" w:right="0"/>
        <w:jc w:val="center"/>
        <w:textAlignment w:val="auto"/>
        <w:rPr>
          <w:color w:val="auto"/>
          <w:sz w:val="24"/>
          <w:szCs w:val="24"/>
          <w:highlight w:val="none"/>
        </w:rPr>
      </w:pPr>
    </w:p>
    <w:p w14:paraId="5218543D">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color w:val="auto"/>
          <w:sz w:val="24"/>
          <w:szCs w:val="24"/>
          <w:highlight w:val="none"/>
        </w:rPr>
      </w:pPr>
      <w:r>
        <w:rPr>
          <w:color w:val="auto"/>
          <w:sz w:val="24"/>
          <w:szCs w:val="24"/>
          <w:highlight w:val="none"/>
        </w:rPr>
        <w:t>项目编号：</w:t>
      </w:r>
      <w:r>
        <w:rPr>
          <w:rFonts w:hint="eastAsia"/>
          <w:color w:val="auto"/>
          <w:sz w:val="24"/>
          <w:szCs w:val="24"/>
          <w:highlight w:val="none"/>
          <w:lang w:val="en-US" w:eastAsia="zh-CN"/>
        </w:rPr>
        <w:t xml:space="preserve">                              </w:t>
      </w:r>
      <w:r>
        <w:rPr>
          <w:color w:val="auto"/>
          <w:sz w:val="24"/>
          <w:szCs w:val="24"/>
          <w:highlight w:val="none"/>
        </w:rPr>
        <w:t xml:space="preserve"> 项目名称： </w:t>
      </w:r>
    </w:p>
    <w:tbl>
      <w:tblPr>
        <w:tblStyle w:val="19"/>
        <w:tblW w:w="990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30"/>
        <w:gridCol w:w="2095"/>
        <w:gridCol w:w="2359"/>
        <w:gridCol w:w="2359"/>
        <w:gridCol w:w="2359"/>
      </w:tblGrid>
      <w:tr w14:paraId="447849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44" w:hRule="atLeast"/>
          <w:jc w:val="center"/>
        </w:trPr>
        <w:tc>
          <w:tcPr>
            <w:tcW w:w="730" w:type="dxa"/>
            <w:vAlign w:val="center"/>
          </w:tcPr>
          <w:p w14:paraId="279D0727">
            <w:pPr>
              <w:pStyle w:val="28"/>
              <w:spacing w:before="60"/>
              <w:ind w:left="10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2095" w:type="dxa"/>
            <w:vAlign w:val="center"/>
          </w:tcPr>
          <w:p w14:paraId="6C95E3C8">
            <w:pPr>
              <w:pStyle w:val="28"/>
              <w:spacing w:before="60"/>
              <w:ind w:left="10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名称</w:t>
            </w:r>
          </w:p>
        </w:tc>
        <w:tc>
          <w:tcPr>
            <w:tcW w:w="2359" w:type="dxa"/>
            <w:vAlign w:val="center"/>
          </w:tcPr>
          <w:p w14:paraId="72D5530A">
            <w:pPr>
              <w:pStyle w:val="28"/>
              <w:spacing w:before="60"/>
              <w:ind w:left="100"/>
              <w:jc w:val="center"/>
              <w:rPr>
                <w:rFonts w:hint="default" w:ascii="宋体" w:hAnsi="宋体" w:eastAsia="宋体" w:cs="宋体"/>
                <w:sz w:val="24"/>
                <w:szCs w:val="24"/>
                <w:highlight w:val="none"/>
                <w:lang w:val="en-US" w:eastAsia="zh-CN"/>
              </w:rPr>
            </w:pPr>
            <w:r>
              <w:rPr>
                <w:rFonts w:hint="eastAsia" w:cs="宋体"/>
                <w:sz w:val="24"/>
                <w:szCs w:val="24"/>
                <w:highlight w:val="none"/>
                <w:lang w:val="en-US" w:eastAsia="zh-CN"/>
              </w:rPr>
              <w:t>投标</w:t>
            </w:r>
            <w:r>
              <w:rPr>
                <w:rFonts w:hint="eastAsia" w:ascii="宋体" w:hAnsi="宋体" w:eastAsia="宋体" w:cs="宋体"/>
                <w:sz w:val="24"/>
                <w:szCs w:val="24"/>
                <w:highlight w:val="none"/>
                <w:lang w:val="en-US" w:eastAsia="zh-CN"/>
              </w:rPr>
              <w:t>报价（元）</w:t>
            </w:r>
          </w:p>
        </w:tc>
        <w:tc>
          <w:tcPr>
            <w:tcW w:w="2359" w:type="dxa"/>
            <w:vAlign w:val="center"/>
          </w:tcPr>
          <w:p w14:paraId="32B10587">
            <w:pPr>
              <w:pStyle w:val="28"/>
              <w:spacing w:before="60"/>
              <w:ind w:left="10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服务期限</w:t>
            </w:r>
          </w:p>
        </w:tc>
        <w:tc>
          <w:tcPr>
            <w:tcW w:w="2359" w:type="dxa"/>
            <w:vAlign w:val="center"/>
          </w:tcPr>
          <w:p w14:paraId="5EAD4C03">
            <w:pPr>
              <w:pStyle w:val="28"/>
              <w:spacing w:before="60"/>
              <w:ind w:left="100"/>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服务地点</w:t>
            </w:r>
          </w:p>
        </w:tc>
      </w:tr>
      <w:tr w14:paraId="625E96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48" w:hRule="atLeast"/>
          <w:jc w:val="center"/>
        </w:trPr>
        <w:tc>
          <w:tcPr>
            <w:tcW w:w="730" w:type="dxa"/>
          </w:tcPr>
          <w:p w14:paraId="02C0A1F1">
            <w:pPr>
              <w:pStyle w:val="28"/>
              <w:spacing w:before="60"/>
              <w:ind w:left="100"/>
              <w:rPr>
                <w:rFonts w:hint="eastAsia" w:ascii="宋体" w:hAnsi="宋体" w:eastAsia="宋体" w:cs="宋体"/>
                <w:sz w:val="24"/>
                <w:szCs w:val="24"/>
                <w:highlight w:val="none"/>
              </w:rPr>
            </w:pPr>
          </w:p>
        </w:tc>
        <w:tc>
          <w:tcPr>
            <w:tcW w:w="2095" w:type="dxa"/>
            <w:vAlign w:val="center"/>
          </w:tcPr>
          <w:p w14:paraId="4FE41F38">
            <w:pPr>
              <w:pStyle w:val="28"/>
              <w:spacing w:before="24" w:line="337" w:lineRule="exact"/>
              <w:ind w:left="100"/>
              <w:jc w:val="center"/>
              <w:rPr>
                <w:rFonts w:hint="eastAsia" w:ascii="宋体" w:hAnsi="宋体" w:eastAsia="宋体" w:cs="宋体"/>
                <w:sz w:val="24"/>
                <w:szCs w:val="24"/>
                <w:highlight w:val="none"/>
              </w:rPr>
            </w:pPr>
          </w:p>
        </w:tc>
        <w:tc>
          <w:tcPr>
            <w:tcW w:w="2359" w:type="dxa"/>
            <w:vAlign w:val="center"/>
          </w:tcPr>
          <w:p w14:paraId="2868DA56">
            <w:pPr>
              <w:pStyle w:val="28"/>
              <w:spacing w:before="60"/>
              <w:ind w:left="100"/>
              <w:jc w:val="center"/>
              <w:rPr>
                <w:rFonts w:hint="eastAsia" w:cs="宋体"/>
                <w:sz w:val="24"/>
                <w:szCs w:val="24"/>
                <w:highlight w:val="none"/>
                <w:lang w:val="en-US" w:eastAsia="zh-CN"/>
              </w:rPr>
            </w:pPr>
          </w:p>
        </w:tc>
        <w:tc>
          <w:tcPr>
            <w:tcW w:w="2359" w:type="dxa"/>
            <w:vAlign w:val="center"/>
          </w:tcPr>
          <w:p w14:paraId="1CA94BFA">
            <w:pPr>
              <w:pStyle w:val="28"/>
              <w:spacing w:before="60"/>
              <w:ind w:left="100"/>
              <w:jc w:val="center"/>
              <w:rPr>
                <w:rFonts w:hint="eastAsia" w:cs="宋体"/>
                <w:sz w:val="24"/>
                <w:szCs w:val="24"/>
                <w:highlight w:val="none"/>
                <w:lang w:val="en-US" w:eastAsia="zh-CN"/>
              </w:rPr>
            </w:pPr>
          </w:p>
        </w:tc>
        <w:tc>
          <w:tcPr>
            <w:tcW w:w="2359" w:type="dxa"/>
            <w:vAlign w:val="center"/>
          </w:tcPr>
          <w:p w14:paraId="1F98FA46">
            <w:pPr>
              <w:pStyle w:val="28"/>
              <w:spacing w:before="60"/>
              <w:ind w:left="100"/>
              <w:jc w:val="center"/>
              <w:rPr>
                <w:rFonts w:hint="eastAsia" w:cs="宋体"/>
                <w:sz w:val="24"/>
                <w:szCs w:val="24"/>
                <w:highlight w:val="none"/>
                <w:lang w:val="en-US" w:eastAsia="zh-CN"/>
              </w:rPr>
            </w:pPr>
          </w:p>
        </w:tc>
      </w:tr>
    </w:tbl>
    <w:p w14:paraId="12AB3189">
      <w:pPr>
        <w:pStyle w:val="9"/>
        <w:spacing w:before="122"/>
        <w:ind w:left="0" w:right="2549"/>
        <w:jc w:val="right"/>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 xml:space="preserve">                          </w:t>
      </w:r>
    </w:p>
    <w:p w14:paraId="04D5D91B">
      <w:pPr>
        <w:pStyle w:val="9"/>
        <w:spacing w:before="122"/>
        <w:ind w:left="0" w:right="2549"/>
        <w:jc w:val="right"/>
        <w:rPr>
          <w:rFonts w:hint="eastAsia" w:ascii="宋体" w:hAnsi="宋体" w:eastAsia="宋体" w:cs="宋体"/>
          <w:sz w:val="24"/>
          <w:szCs w:val="24"/>
          <w:highlight w:val="none"/>
          <w:lang w:val="en-US" w:eastAsia="zh-CN" w:bidi="ar-SA"/>
        </w:rPr>
      </w:pPr>
      <w:r>
        <w:rPr>
          <w:rFonts w:hint="eastAsia" w:cs="宋体"/>
          <w:sz w:val="24"/>
          <w:szCs w:val="24"/>
          <w:highlight w:val="none"/>
          <w:lang w:val="en-US" w:eastAsia="zh-CN" w:bidi="ar-SA"/>
        </w:rPr>
        <w:t xml:space="preserve"> </w:t>
      </w:r>
      <w:r>
        <w:rPr>
          <w:rFonts w:hint="eastAsia" w:ascii="宋体" w:hAnsi="宋体" w:eastAsia="宋体" w:cs="宋体"/>
          <w:sz w:val="24"/>
          <w:szCs w:val="24"/>
          <w:highlight w:val="none"/>
          <w:lang w:val="en-US" w:eastAsia="zh-CN" w:bidi="ar-SA"/>
        </w:rPr>
        <w:t xml:space="preserve">    供应商（盖章）：</w:t>
      </w:r>
      <w:r>
        <w:rPr>
          <w:rFonts w:hint="eastAsia" w:ascii="宋体" w:hAnsi="宋体" w:eastAsia="宋体" w:cs="宋体"/>
          <w:sz w:val="24"/>
          <w:szCs w:val="24"/>
          <w:highlight w:val="none"/>
          <w:lang w:val="en-US" w:eastAsia="zh-CN" w:bidi="ar-SA"/>
        </w:rPr>
        <w:tab/>
      </w:r>
    </w:p>
    <w:p w14:paraId="2431D9ED">
      <w:pPr>
        <w:pStyle w:val="9"/>
        <w:spacing w:before="122"/>
        <w:ind w:left="0" w:right="2549"/>
        <w:jc w:val="center"/>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bidi="ar-SA"/>
        </w:rPr>
        <w:t xml:space="preserve">                                  年   月   日</w:t>
      </w:r>
    </w:p>
    <w:p w14:paraId="5F35E600">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074DA3EB">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6E72357C">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691F4EE7">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278E0CB0">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0C4D3AEC">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4EE76FF2">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50363739">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2BB3BECD">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40BA25CB">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6790D673">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2FFD97E8">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7B649F61">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23AD8D86">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0F5AE9F6">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09B98183">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55418AFB">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1B19D1AC">
      <w:pPr>
        <w:pStyle w:val="15"/>
        <w:rPr>
          <w:rFonts w:hint="eastAsia" w:ascii="宋体" w:hAnsi="宋体" w:eastAsia="宋体" w:cs="宋体"/>
          <w:color w:val="auto"/>
          <w:sz w:val="24"/>
          <w:szCs w:val="24"/>
          <w:highlight w:val="none"/>
        </w:rPr>
      </w:pPr>
    </w:p>
    <w:p w14:paraId="409A5BE1">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textAlignment w:val="auto"/>
        <w:rPr>
          <w:rFonts w:hint="eastAsia" w:ascii="宋体" w:hAnsi="宋体" w:eastAsia="宋体" w:cs="宋体"/>
          <w:color w:val="auto"/>
          <w:sz w:val="24"/>
          <w:szCs w:val="24"/>
          <w:highlight w:val="none"/>
        </w:rPr>
      </w:pPr>
    </w:p>
    <w:p w14:paraId="046C5351">
      <w:pPr>
        <w:pStyle w:val="4"/>
        <w:spacing w:before="64"/>
        <w:ind w:left="295" w:right="362"/>
        <w:jc w:val="center"/>
        <w:rPr>
          <w:color w:val="auto"/>
          <w:highlight w:val="none"/>
        </w:rPr>
      </w:pPr>
      <w:bookmarkStart w:id="291" w:name="_Toc3554"/>
      <w:bookmarkStart w:id="292" w:name="_Toc1726"/>
      <w:bookmarkStart w:id="293" w:name="_Toc12062"/>
      <w:bookmarkStart w:id="294" w:name="_Toc18877"/>
      <w:bookmarkStart w:id="295" w:name="_Toc30709"/>
      <w:r>
        <w:rPr>
          <w:color w:val="auto"/>
          <w:highlight w:val="none"/>
        </w:rPr>
        <w:t>三、分项</w:t>
      </w:r>
      <w:r>
        <w:rPr>
          <w:rFonts w:hint="eastAsia"/>
          <w:color w:val="auto"/>
          <w:highlight w:val="none"/>
          <w:lang w:eastAsia="zh-CN"/>
        </w:rPr>
        <w:t>响应</w:t>
      </w:r>
      <w:r>
        <w:rPr>
          <w:color w:val="auto"/>
          <w:highlight w:val="none"/>
        </w:rPr>
        <w:t>表</w:t>
      </w:r>
      <w:bookmarkEnd w:id="291"/>
      <w:bookmarkEnd w:id="292"/>
      <w:bookmarkEnd w:id="293"/>
      <w:bookmarkEnd w:id="294"/>
      <w:bookmarkEnd w:id="295"/>
    </w:p>
    <w:p w14:paraId="1A91CF21">
      <w:pPr>
        <w:pStyle w:val="9"/>
        <w:spacing w:before="140"/>
        <w:ind w:left="0" w:right="2549"/>
        <w:jc w:val="right"/>
        <w:rPr>
          <w:color w:val="auto"/>
          <w:highlight w:val="none"/>
        </w:rPr>
      </w:pPr>
    </w:p>
    <w:p w14:paraId="6FE500B4">
      <w:pPr>
        <w:pStyle w:val="9"/>
        <w:spacing w:before="1"/>
        <w:ind w:left="0"/>
        <w:rPr>
          <w:b/>
          <w:color w:val="auto"/>
          <w:sz w:val="24"/>
          <w:szCs w:val="24"/>
          <w:highlight w:val="none"/>
        </w:rPr>
      </w:pPr>
    </w:p>
    <w:p w14:paraId="06DBE57E">
      <w:pPr>
        <w:pStyle w:val="9"/>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hint="eastAsia" w:ascii="宋体" w:hAnsi="宋体" w:eastAsia="宋体" w:cs="宋体"/>
          <w:color w:val="auto"/>
          <w:sz w:val="24"/>
          <w:szCs w:val="24"/>
          <w:highlight w:val="none"/>
          <w:lang w:val="en-US" w:eastAsia="zh-CN"/>
        </w:rPr>
        <w:t xml:space="preserve">                              </w:t>
      </w:r>
      <w:r>
        <w:rPr>
          <w:rFonts w:ascii="宋体" w:hAnsi="宋体" w:eastAsia="宋体" w:cs="宋体"/>
          <w:color w:val="auto"/>
          <w:sz w:val="24"/>
          <w:szCs w:val="24"/>
          <w:highlight w:val="none"/>
        </w:rPr>
        <w:t>项目名称：</w:t>
      </w:r>
    </w:p>
    <w:tbl>
      <w:tblPr>
        <w:tblStyle w:val="19"/>
        <w:tblW w:w="1017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84"/>
        <w:gridCol w:w="741"/>
        <w:gridCol w:w="1239"/>
        <w:gridCol w:w="1239"/>
        <w:gridCol w:w="1239"/>
        <w:gridCol w:w="1239"/>
        <w:gridCol w:w="1239"/>
        <w:gridCol w:w="752"/>
        <w:gridCol w:w="752"/>
        <w:gridCol w:w="752"/>
      </w:tblGrid>
      <w:tr w14:paraId="4786BC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84" w:type="dxa"/>
          </w:tcPr>
          <w:p w14:paraId="2E286420">
            <w:pPr>
              <w:pStyle w:val="28"/>
              <w:spacing w:before="60"/>
              <w:ind w:left="100"/>
              <w:rPr>
                <w:color w:val="auto"/>
                <w:sz w:val="24"/>
                <w:szCs w:val="24"/>
                <w:highlight w:val="none"/>
              </w:rPr>
            </w:pPr>
            <w:r>
              <w:rPr>
                <w:color w:val="auto"/>
                <w:sz w:val="24"/>
                <w:szCs w:val="24"/>
                <w:highlight w:val="none"/>
              </w:rPr>
              <w:t>品目号</w:t>
            </w:r>
          </w:p>
        </w:tc>
        <w:tc>
          <w:tcPr>
            <w:tcW w:w="741" w:type="dxa"/>
          </w:tcPr>
          <w:p w14:paraId="420D120E">
            <w:pPr>
              <w:pStyle w:val="28"/>
              <w:spacing w:before="60"/>
              <w:ind w:left="100"/>
              <w:rPr>
                <w:color w:val="auto"/>
                <w:sz w:val="24"/>
                <w:szCs w:val="24"/>
                <w:highlight w:val="none"/>
              </w:rPr>
            </w:pPr>
            <w:r>
              <w:rPr>
                <w:color w:val="auto"/>
                <w:sz w:val="24"/>
                <w:szCs w:val="24"/>
                <w:highlight w:val="none"/>
              </w:rPr>
              <w:t>序号</w:t>
            </w:r>
          </w:p>
        </w:tc>
        <w:tc>
          <w:tcPr>
            <w:tcW w:w="1239" w:type="dxa"/>
          </w:tcPr>
          <w:p w14:paraId="72530060">
            <w:pPr>
              <w:pStyle w:val="28"/>
              <w:spacing w:before="60"/>
              <w:ind w:left="101"/>
              <w:rPr>
                <w:color w:val="auto"/>
                <w:sz w:val="24"/>
                <w:szCs w:val="24"/>
                <w:highlight w:val="none"/>
              </w:rPr>
            </w:pPr>
            <w:r>
              <w:rPr>
                <w:color w:val="auto"/>
                <w:sz w:val="24"/>
                <w:szCs w:val="24"/>
                <w:highlight w:val="none"/>
              </w:rPr>
              <w:t>服务名称</w:t>
            </w:r>
          </w:p>
        </w:tc>
        <w:tc>
          <w:tcPr>
            <w:tcW w:w="1239" w:type="dxa"/>
          </w:tcPr>
          <w:p w14:paraId="308C1600">
            <w:pPr>
              <w:pStyle w:val="28"/>
              <w:spacing w:before="60"/>
              <w:ind w:left="101"/>
              <w:rPr>
                <w:color w:val="auto"/>
                <w:sz w:val="24"/>
                <w:szCs w:val="24"/>
                <w:highlight w:val="none"/>
              </w:rPr>
            </w:pPr>
            <w:r>
              <w:rPr>
                <w:color w:val="auto"/>
                <w:sz w:val="24"/>
                <w:szCs w:val="24"/>
                <w:highlight w:val="none"/>
              </w:rPr>
              <w:t>服务范围</w:t>
            </w:r>
          </w:p>
        </w:tc>
        <w:tc>
          <w:tcPr>
            <w:tcW w:w="1239" w:type="dxa"/>
          </w:tcPr>
          <w:p w14:paraId="5764659E">
            <w:pPr>
              <w:pStyle w:val="28"/>
              <w:spacing w:before="60"/>
              <w:ind w:left="101"/>
              <w:rPr>
                <w:color w:val="auto"/>
                <w:sz w:val="24"/>
                <w:szCs w:val="24"/>
                <w:highlight w:val="none"/>
              </w:rPr>
            </w:pPr>
            <w:r>
              <w:rPr>
                <w:color w:val="auto"/>
                <w:sz w:val="24"/>
                <w:szCs w:val="24"/>
                <w:highlight w:val="none"/>
              </w:rPr>
              <w:t>服务要求</w:t>
            </w:r>
          </w:p>
        </w:tc>
        <w:tc>
          <w:tcPr>
            <w:tcW w:w="1239" w:type="dxa"/>
          </w:tcPr>
          <w:p w14:paraId="0D87EF48">
            <w:pPr>
              <w:pStyle w:val="28"/>
              <w:spacing w:before="60"/>
              <w:ind w:left="102"/>
              <w:rPr>
                <w:color w:val="auto"/>
                <w:sz w:val="24"/>
                <w:szCs w:val="24"/>
                <w:highlight w:val="none"/>
              </w:rPr>
            </w:pPr>
            <w:r>
              <w:rPr>
                <w:color w:val="auto"/>
                <w:sz w:val="24"/>
                <w:szCs w:val="24"/>
                <w:highlight w:val="none"/>
              </w:rPr>
              <w:t>服务期限</w:t>
            </w:r>
          </w:p>
        </w:tc>
        <w:tc>
          <w:tcPr>
            <w:tcW w:w="1239" w:type="dxa"/>
          </w:tcPr>
          <w:p w14:paraId="632619DD">
            <w:pPr>
              <w:pStyle w:val="28"/>
              <w:spacing w:before="60"/>
              <w:ind w:left="102"/>
              <w:rPr>
                <w:color w:val="auto"/>
                <w:sz w:val="24"/>
                <w:szCs w:val="24"/>
                <w:highlight w:val="none"/>
              </w:rPr>
            </w:pPr>
            <w:r>
              <w:rPr>
                <w:color w:val="auto"/>
                <w:sz w:val="24"/>
                <w:szCs w:val="24"/>
                <w:highlight w:val="none"/>
              </w:rPr>
              <w:t>服务标准</w:t>
            </w:r>
          </w:p>
        </w:tc>
        <w:tc>
          <w:tcPr>
            <w:tcW w:w="752" w:type="dxa"/>
          </w:tcPr>
          <w:p w14:paraId="52A4DD7E">
            <w:pPr>
              <w:pStyle w:val="28"/>
              <w:spacing w:before="60"/>
              <w:ind w:left="102"/>
              <w:rPr>
                <w:color w:val="auto"/>
                <w:sz w:val="24"/>
                <w:szCs w:val="24"/>
                <w:highlight w:val="none"/>
              </w:rPr>
            </w:pPr>
            <w:r>
              <w:rPr>
                <w:color w:val="auto"/>
                <w:sz w:val="24"/>
                <w:szCs w:val="24"/>
                <w:highlight w:val="none"/>
              </w:rPr>
              <w:t>单价</w:t>
            </w:r>
          </w:p>
        </w:tc>
        <w:tc>
          <w:tcPr>
            <w:tcW w:w="752" w:type="dxa"/>
          </w:tcPr>
          <w:p w14:paraId="41887FAD">
            <w:pPr>
              <w:pStyle w:val="28"/>
              <w:spacing w:before="60"/>
              <w:ind w:left="103"/>
              <w:rPr>
                <w:color w:val="auto"/>
                <w:sz w:val="24"/>
                <w:szCs w:val="24"/>
                <w:highlight w:val="none"/>
              </w:rPr>
            </w:pPr>
            <w:r>
              <w:rPr>
                <w:color w:val="auto"/>
                <w:sz w:val="24"/>
                <w:szCs w:val="24"/>
                <w:highlight w:val="none"/>
              </w:rPr>
              <w:t>数量</w:t>
            </w:r>
          </w:p>
        </w:tc>
        <w:tc>
          <w:tcPr>
            <w:tcW w:w="752" w:type="dxa"/>
          </w:tcPr>
          <w:p w14:paraId="6BDD89E0">
            <w:pPr>
              <w:pStyle w:val="28"/>
              <w:spacing w:before="60"/>
              <w:ind w:left="103"/>
              <w:rPr>
                <w:color w:val="auto"/>
                <w:sz w:val="24"/>
                <w:szCs w:val="24"/>
                <w:highlight w:val="none"/>
              </w:rPr>
            </w:pPr>
            <w:r>
              <w:rPr>
                <w:color w:val="auto"/>
                <w:sz w:val="24"/>
                <w:szCs w:val="24"/>
                <w:highlight w:val="none"/>
              </w:rPr>
              <w:t>总价</w:t>
            </w:r>
          </w:p>
        </w:tc>
      </w:tr>
      <w:tr w14:paraId="3F1CB2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84" w:type="dxa"/>
          </w:tcPr>
          <w:p w14:paraId="08F57E07">
            <w:pPr>
              <w:pStyle w:val="28"/>
              <w:spacing w:before="24" w:line="337" w:lineRule="exact"/>
              <w:ind w:left="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41" w:type="dxa"/>
          </w:tcPr>
          <w:p w14:paraId="017B5640">
            <w:pPr>
              <w:pStyle w:val="28"/>
              <w:spacing w:before="24" w:line="337" w:lineRule="exact"/>
              <w:ind w:left="100"/>
              <w:rPr>
                <w:rFonts w:hint="eastAsia" w:ascii="宋体" w:hAnsi="宋体" w:eastAsia="宋体" w:cs="宋体"/>
                <w:color w:val="auto"/>
                <w:sz w:val="24"/>
                <w:szCs w:val="24"/>
                <w:highlight w:val="none"/>
              </w:rPr>
            </w:pPr>
            <w:r>
              <w:rPr>
                <w:rFonts w:hint="eastAsia" w:ascii="宋体" w:hAnsi="宋体" w:eastAsia="宋体" w:cs="宋体"/>
                <w:color w:val="auto"/>
                <w:w w:val="103"/>
                <w:sz w:val="24"/>
                <w:szCs w:val="24"/>
                <w:highlight w:val="none"/>
              </w:rPr>
              <w:t>1</w:t>
            </w:r>
          </w:p>
        </w:tc>
        <w:tc>
          <w:tcPr>
            <w:tcW w:w="1239" w:type="dxa"/>
          </w:tcPr>
          <w:p w14:paraId="43A33E6F">
            <w:pPr>
              <w:pStyle w:val="28"/>
              <w:rPr>
                <w:rFonts w:ascii="Times New Roman"/>
                <w:color w:val="auto"/>
                <w:sz w:val="24"/>
                <w:szCs w:val="24"/>
                <w:highlight w:val="none"/>
              </w:rPr>
            </w:pPr>
          </w:p>
        </w:tc>
        <w:tc>
          <w:tcPr>
            <w:tcW w:w="1239" w:type="dxa"/>
          </w:tcPr>
          <w:p w14:paraId="6C94E9EF">
            <w:pPr>
              <w:pStyle w:val="28"/>
              <w:rPr>
                <w:rFonts w:ascii="Times New Roman"/>
                <w:color w:val="auto"/>
                <w:sz w:val="24"/>
                <w:szCs w:val="24"/>
                <w:highlight w:val="none"/>
              </w:rPr>
            </w:pPr>
          </w:p>
        </w:tc>
        <w:tc>
          <w:tcPr>
            <w:tcW w:w="1239" w:type="dxa"/>
          </w:tcPr>
          <w:p w14:paraId="01DBFAF8">
            <w:pPr>
              <w:pStyle w:val="28"/>
              <w:rPr>
                <w:rFonts w:ascii="Times New Roman"/>
                <w:color w:val="auto"/>
                <w:sz w:val="24"/>
                <w:szCs w:val="24"/>
                <w:highlight w:val="none"/>
              </w:rPr>
            </w:pPr>
          </w:p>
        </w:tc>
        <w:tc>
          <w:tcPr>
            <w:tcW w:w="1239" w:type="dxa"/>
          </w:tcPr>
          <w:p w14:paraId="25965039">
            <w:pPr>
              <w:pStyle w:val="28"/>
              <w:rPr>
                <w:rFonts w:ascii="Times New Roman"/>
                <w:color w:val="auto"/>
                <w:sz w:val="24"/>
                <w:szCs w:val="24"/>
                <w:highlight w:val="none"/>
              </w:rPr>
            </w:pPr>
          </w:p>
        </w:tc>
        <w:tc>
          <w:tcPr>
            <w:tcW w:w="1239" w:type="dxa"/>
          </w:tcPr>
          <w:p w14:paraId="14F831EE">
            <w:pPr>
              <w:pStyle w:val="28"/>
              <w:rPr>
                <w:rFonts w:ascii="Times New Roman"/>
                <w:color w:val="auto"/>
                <w:sz w:val="24"/>
                <w:szCs w:val="24"/>
                <w:highlight w:val="none"/>
              </w:rPr>
            </w:pPr>
          </w:p>
        </w:tc>
        <w:tc>
          <w:tcPr>
            <w:tcW w:w="752" w:type="dxa"/>
          </w:tcPr>
          <w:p w14:paraId="5F4EB596">
            <w:pPr>
              <w:pStyle w:val="28"/>
              <w:rPr>
                <w:rFonts w:ascii="Times New Roman"/>
                <w:color w:val="auto"/>
                <w:sz w:val="24"/>
                <w:szCs w:val="24"/>
                <w:highlight w:val="none"/>
              </w:rPr>
            </w:pPr>
          </w:p>
        </w:tc>
        <w:tc>
          <w:tcPr>
            <w:tcW w:w="752" w:type="dxa"/>
          </w:tcPr>
          <w:p w14:paraId="11333875">
            <w:pPr>
              <w:pStyle w:val="28"/>
              <w:rPr>
                <w:rFonts w:ascii="Times New Roman"/>
                <w:color w:val="auto"/>
                <w:sz w:val="24"/>
                <w:szCs w:val="24"/>
                <w:highlight w:val="none"/>
              </w:rPr>
            </w:pPr>
          </w:p>
        </w:tc>
        <w:tc>
          <w:tcPr>
            <w:tcW w:w="752" w:type="dxa"/>
          </w:tcPr>
          <w:p w14:paraId="5C52A48A">
            <w:pPr>
              <w:pStyle w:val="28"/>
              <w:rPr>
                <w:rFonts w:ascii="Times New Roman"/>
                <w:color w:val="auto"/>
                <w:sz w:val="24"/>
                <w:szCs w:val="24"/>
                <w:highlight w:val="none"/>
              </w:rPr>
            </w:pPr>
          </w:p>
        </w:tc>
      </w:tr>
      <w:tr w14:paraId="0D62FC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84" w:type="dxa"/>
          </w:tcPr>
          <w:p w14:paraId="406C3B87">
            <w:pPr>
              <w:pStyle w:val="28"/>
              <w:spacing w:before="24" w:line="337" w:lineRule="exact"/>
              <w:ind w:left="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741" w:type="dxa"/>
          </w:tcPr>
          <w:p w14:paraId="735DB5E9">
            <w:pPr>
              <w:pStyle w:val="28"/>
              <w:spacing w:before="24" w:line="337" w:lineRule="exact"/>
              <w:ind w:left="100"/>
              <w:rPr>
                <w:rFonts w:hint="eastAsia" w:ascii="宋体" w:hAnsi="宋体" w:eastAsia="宋体" w:cs="宋体"/>
                <w:color w:val="auto"/>
                <w:sz w:val="24"/>
                <w:szCs w:val="24"/>
                <w:highlight w:val="none"/>
              </w:rPr>
            </w:pPr>
            <w:r>
              <w:rPr>
                <w:rFonts w:hint="eastAsia" w:ascii="宋体" w:hAnsi="宋体" w:eastAsia="宋体" w:cs="宋体"/>
                <w:color w:val="auto"/>
                <w:w w:val="103"/>
                <w:sz w:val="24"/>
                <w:szCs w:val="24"/>
                <w:highlight w:val="none"/>
              </w:rPr>
              <w:t>2</w:t>
            </w:r>
          </w:p>
        </w:tc>
        <w:tc>
          <w:tcPr>
            <w:tcW w:w="1239" w:type="dxa"/>
          </w:tcPr>
          <w:p w14:paraId="05B155C4">
            <w:pPr>
              <w:pStyle w:val="28"/>
              <w:rPr>
                <w:rFonts w:ascii="Times New Roman"/>
                <w:color w:val="auto"/>
                <w:sz w:val="24"/>
                <w:szCs w:val="24"/>
                <w:highlight w:val="none"/>
              </w:rPr>
            </w:pPr>
          </w:p>
        </w:tc>
        <w:tc>
          <w:tcPr>
            <w:tcW w:w="1239" w:type="dxa"/>
          </w:tcPr>
          <w:p w14:paraId="14F84752">
            <w:pPr>
              <w:pStyle w:val="28"/>
              <w:rPr>
                <w:rFonts w:ascii="Times New Roman"/>
                <w:color w:val="auto"/>
                <w:sz w:val="24"/>
                <w:szCs w:val="24"/>
                <w:highlight w:val="none"/>
              </w:rPr>
            </w:pPr>
          </w:p>
        </w:tc>
        <w:tc>
          <w:tcPr>
            <w:tcW w:w="1239" w:type="dxa"/>
          </w:tcPr>
          <w:p w14:paraId="4F984EBA">
            <w:pPr>
              <w:pStyle w:val="28"/>
              <w:rPr>
                <w:rFonts w:ascii="Times New Roman"/>
                <w:color w:val="auto"/>
                <w:sz w:val="24"/>
                <w:szCs w:val="24"/>
                <w:highlight w:val="none"/>
              </w:rPr>
            </w:pPr>
          </w:p>
        </w:tc>
        <w:tc>
          <w:tcPr>
            <w:tcW w:w="1239" w:type="dxa"/>
          </w:tcPr>
          <w:p w14:paraId="0978D5B4">
            <w:pPr>
              <w:pStyle w:val="28"/>
              <w:rPr>
                <w:rFonts w:ascii="Times New Roman"/>
                <w:color w:val="auto"/>
                <w:sz w:val="24"/>
                <w:szCs w:val="24"/>
                <w:highlight w:val="none"/>
              </w:rPr>
            </w:pPr>
          </w:p>
        </w:tc>
        <w:tc>
          <w:tcPr>
            <w:tcW w:w="1239" w:type="dxa"/>
          </w:tcPr>
          <w:p w14:paraId="1420AD92">
            <w:pPr>
              <w:pStyle w:val="28"/>
              <w:rPr>
                <w:rFonts w:ascii="Times New Roman"/>
                <w:color w:val="auto"/>
                <w:sz w:val="24"/>
                <w:szCs w:val="24"/>
                <w:highlight w:val="none"/>
              </w:rPr>
            </w:pPr>
          </w:p>
        </w:tc>
        <w:tc>
          <w:tcPr>
            <w:tcW w:w="752" w:type="dxa"/>
          </w:tcPr>
          <w:p w14:paraId="6D10B778">
            <w:pPr>
              <w:pStyle w:val="28"/>
              <w:rPr>
                <w:rFonts w:ascii="Times New Roman"/>
                <w:color w:val="auto"/>
                <w:sz w:val="24"/>
                <w:szCs w:val="24"/>
                <w:highlight w:val="none"/>
              </w:rPr>
            </w:pPr>
          </w:p>
        </w:tc>
        <w:tc>
          <w:tcPr>
            <w:tcW w:w="752" w:type="dxa"/>
          </w:tcPr>
          <w:p w14:paraId="7AA23601">
            <w:pPr>
              <w:pStyle w:val="28"/>
              <w:rPr>
                <w:rFonts w:ascii="Times New Roman"/>
                <w:color w:val="auto"/>
                <w:sz w:val="24"/>
                <w:szCs w:val="24"/>
                <w:highlight w:val="none"/>
              </w:rPr>
            </w:pPr>
          </w:p>
        </w:tc>
        <w:tc>
          <w:tcPr>
            <w:tcW w:w="752" w:type="dxa"/>
          </w:tcPr>
          <w:p w14:paraId="3DE968E9">
            <w:pPr>
              <w:pStyle w:val="28"/>
              <w:rPr>
                <w:rFonts w:ascii="Times New Roman"/>
                <w:color w:val="auto"/>
                <w:sz w:val="24"/>
                <w:szCs w:val="24"/>
                <w:highlight w:val="none"/>
              </w:rPr>
            </w:pPr>
          </w:p>
        </w:tc>
      </w:tr>
      <w:tr w14:paraId="44F72B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2" w:hRule="atLeast"/>
          <w:jc w:val="center"/>
        </w:trPr>
        <w:tc>
          <w:tcPr>
            <w:tcW w:w="984" w:type="dxa"/>
          </w:tcPr>
          <w:p w14:paraId="367D1BB4">
            <w:pPr>
              <w:pStyle w:val="28"/>
              <w:spacing w:before="24" w:line="337" w:lineRule="exact"/>
              <w:ind w:left="100"/>
              <w:rPr>
                <w:rFonts w:ascii="Meiryo"/>
                <w:color w:val="auto"/>
                <w:sz w:val="24"/>
                <w:szCs w:val="24"/>
                <w:highlight w:val="none"/>
              </w:rPr>
            </w:pPr>
            <w:r>
              <w:rPr>
                <w:rFonts w:ascii="Meiryo"/>
                <w:color w:val="auto"/>
                <w:sz w:val="24"/>
                <w:szCs w:val="24"/>
                <w:highlight w:val="none"/>
              </w:rPr>
              <w:t>...</w:t>
            </w:r>
          </w:p>
        </w:tc>
        <w:tc>
          <w:tcPr>
            <w:tcW w:w="741" w:type="dxa"/>
          </w:tcPr>
          <w:p w14:paraId="4F68B45C">
            <w:pPr>
              <w:pStyle w:val="28"/>
              <w:spacing w:before="24" w:line="337" w:lineRule="exact"/>
              <w:ind w:left="100"/>
              <w:rPr>
                <w:rFonts w:ascii="Meiryo"/>
                <w:color w:val="auto"/>
                <w:sz w:val="24"/>
                <w:szCs w:val="24"/>
                <w:highlight w:val="none"/>
              </w:rPr>
            </w:pPr>
            <w:r>
              <w:rPr>
                <w:rFonts w:ascii="Meiryo"/>
                <w:color w:val="auto"/>
                <w:sz w:val="24"/>
                <w:szCs w:val="24"/>
                <w:highlight w:val="none"/>
              </w:rPr>
              <w:t>...</w:t>
            </w:r>
          </w:p>
        </w:tc>
        <w:tc>
          <w:tcPr>
            <w:tcW w:w="1239" w:type="dxa"/>
          </w:tcPr>
          <w:p w14:paraId="1B728896">
            <w:pPr>
              <w:pStyle w:val="28"/>
              <w:rPr>
                <w:rFonts w:ascii="Times New Roman"/>
                <w:color w:val="auto"/>
                <w:sz w:val="24"/>
                <w:szCs w:val="24"/>
                <w:highlight w:val="none"/>
              </w:rPr>
            </w:pPr>
          </w:p>
        </w:tc>
        <w:tc>
          <w:tcPr>
            <w:tcW w:w="1239" w:type="dxa"/>
          </w:tcPr>
          <w:p w14:paraId="1B5D16FF">
            <w:pPr>
              <w:pStyle w:val="28"/>
              <w:rPr>
                <w:rFonts w:ascii="Times New Roman"/>
                <w:color w:val="auto"/>
                <w:sz w:val="24"/>
                <w:szCs w:val="24"/>
                <w:highlight w:val="none"/>
              </w:rPr>
            </w:pPr>
          </w:p>
        </w:tc>
        <w:tc>
          <w:tcPr>
            <w:tcW w:w="1239" w:type="dxa"/>
          </w:tcPr>
          <w:p w14:paraId="50709F11">
            <w:pPr>
              <w:pStyle w:val="28"/>
              <w:rPr>
                <w:rFonts w:ascii="Times New Roman"/>
                <w:color w:val="auto"/>
                <w:sz w:val="24"/>
                <w:szCs w:val="24"/>
                <w:highlight w:val="none"/>
              </w:rPr>
            </w:pPr>
          </w:p>
        </w:tc>
        <w:tc>
          <w:tcPr>
            <w:tcW w:w="1239" w:type="dxa"/>
          </w:tcPr>
          <w:p w14:paraId="39FA2F1A">
            <w:pPr>
              <w:pStyle w:val="28"/>
              <w:rPr>
                <w:rFonts w:ascii="Times New Roman"/>
                <w:color w:val="auto"/>
                <w:sz w:val="24"/>
                <w:szCs w:val="24"/>
                <w:highlight w:val="none"/>
              </w:rPr>
            </w:pPr>
          </w:p>
        </w:tc>
        <w:tc>
          <w:tcPr>
            <w:tcW w:w="1239" w:type="dxa"/>
          </w:tcPr>
          <w:p w14:paraId="044B4AA8">
            <w:pPr>
              <w:pStyle w:val="28"/>
              <w:rPr>
                <w:rFonts w:ascii="Times New Roman"/>
                <w:color w:val="auto"/>
                <w:sz w:val="24"/>
                <w:szCs w:val="24"/>
                <w:highlight w:val="none"/>
              </w:rPr>
            </w:pPr>
          </w:p>
        </w:tc>
        <w:tc>
          <w:tcPr>
            <w:tcW w:w="752" w:type="dxa"/>
          </w:tcPr>
          <w:p w14:paraId="62166E97">
            <w:pPr>
              <w:pStyle w:val="28"/>
              <w:rPr>
                <w:rFonts w:ascii="Times New Roman"/>
                <w:color w:val="auto"/>
                <w:sz w:val="24"/>
                <w:szCs w:val="24"/>
                <w:highlight w:val="none"/>
              </w:rPr>
            </w:pPr>
          </w:p>
        </w:tc>
        <w:tc>
          <w:tcPr>
            <w:tcW w:w="752" w:type="dxa"/>
          </w:tcPr>
          <w:p w14:paraId="36B4A212">
            <w:pPr>
              <w:pStyle w:val="28"/>
              <w:rPr>
                <w:rFonts w:ascii="Times New Roman"/>
                <w:color w:val="auto"/>
                <w:sz w:val="24"/>
                <w:szCs w:val="24"/>
                <w:highlight w:val="none"/>
              </w:rPr>
            </w:pPr>
          </w:p>
        </w:tc>
        <w:tc>
          <w:tcPr>
            <w:tcW w:w="752" w:type="dxa"/>
          </w:tcPr>
          <w:p w14:paraId="49752E64">
            <w:pPr>
              <w:pStyle w:val="28"/>
              <w:rPr>
                <w:rFonts w:ascii="Times New Roman"/>
                <w:color w:val="auto"/>
                <w:sz w:val="24"/>
                <w:szCs w:val="24"/>
                <w:highlight w:val="none"/>
              </w:rPr>
            </w:pPr>
          </w:p>
        </w:tc>
      </w:tr>
    </w:tbl>
    <w:p w14:paraId="543F5C71">
      <w:pPr>
        <w:pStyle w:val="9"/>
        <w:spacing w:before="132"/>
        <w:ind w:left="0" w:right="2549"/>
        <w:jc w:val="right"/>
        <w:rPr>
          <w:color w:val="auto"/>
          <w:sz w:val="24"/>
          <w:szCs w:val="24"/>
          <w:highlight w:val="none"/>
        </w:rPr>
      </w:pPr>
      <w:r>
        <w:rPr>
          <w:color w:val="auto"/>
          <w:sz w:val="24"/>
          <w:szCs w:val="24"/>
          <w:highlight w:val="none"/>
        </w:rPr>
        <w:t>供应商（盖章）：</w:t>
      </w:r>
    </w:p>
    <w:p w14:paraId="512118B7">
      <w:pPr>
        <w:pStyle w:val="9"/>
        <w:spacing w:before="140"/>
        <w:ind w:left="0" w:right="2549"/>
        <w:jc w:val="center"/>
        <w:rPr>
          <w:color w:val="auto"/>
          <w:sz w:val="24"/>
          <w:szCs w:val="24"/>
          <w:highlight w:val="none"/>
        </w:rPr>
      </w:pPr>
      <w:r>
        <w:rPr>
          <w:rFonts w:hint="eastAsia"/>
          <w:color w:val="auto"/>
          <w:sz w:val="24"/>
          <w:szCs w:val="24"/>
          <w:highlight w:val="none"/>
          <w:lang w:val="en-US" w:eastAsia="zh-CN"/>
        </w:rPr>
        <w:t xml:space="preserve">                                     年  月  日</w:t>
      </w:r>
    </w:p>
    <w:p w14:paraId="458B3180">
      <w:pPr>
        <w:pStyle w:val="9"/>
        <w:spacing w:before="140"/>
        <w:ind w:left="0" w:right="2549"/>
        <w:jc w:val="right"/>
        <w:rPr>
          <w:color w:val="auto"/>
          <w:sz w:val="24"/>
          <w:szCs w:val="24"/>
          <w:highlight w:val="none"/>
        </w:rPr>
      </w:pPr>
    </w:p>
    <w:p w14:paraId="24DC832B">
      <w:pPr>
        <w:pStyle w:val="9"/>
        <w:spacing w:before="140"/>
        <w:ind w:left="0" w:right="2549"/>
        <w:jc w:val="right"/>
        <w:rPr>
          <w:color w:val="auto"/>
          <w:highlight w:val="none"/>
        </w:rPr>
      </w:pPr>
    </w:p>
    <w:p w14:paraId="772BBE9C">
      <w:pPr>
        <w:pStyle w:val="9"/>
        <w:spacing w:before="140"/>
        <w:ind w:left="0" w:right="2549"/>
        <w:jc w:val="right"/>
        <w:rPr>
          <w:color w:val="auto"/>
          <w:highlight w:val="none"/>
        </w:rPr>
      </w:pPr>
    </w:p>
    <w:p w14:paraId="4D69CC95">
      <w:pPr>
        <w:pStyle w:val="9"/>
        <w:spacing w:before="140"/>
        <w:ind w:left="0" w:right="2549"/>
        <w:jc w:val="right"/>
        <w:rPr>
          <w:color w:val="auto"/>
          <w:highlight w:val="none"/>
        </w:rPr>
      </w:pPr>
    </w:p>
    <w:p w14:paraId="6A3096ED">
      <w:pPr>
        <w:rPr>
          <w:color w:val="auto"/>
          <w:highlight w:val="none"/>
        </w:rPr>
      </w:pPr>
    </w:p>
    <w:p w14:paraId="2D73EE3F">
      <w:pPr>
        <w:rPr>
          <w:color w:val="auto"/>
          <w:highlight w:val="none"/>
        </w:rPr>
      </w:pPr>
    </w:p>
    <w:p w14:paraId="42291250">
      <w:pPr>
        <w:rPr>
          <w:color w:val="auto"/>
          <w:highlight w:val="none"/>
        </w:rPr>
      </w:pPr>
    </w:p>
    <w:p w14:paraId="6FB8E2A6">
      <w:pPr>
        <w:pStyle w:val="9"/>
        <w:spacing w:before="140"/>
        <w:ind w:left="0" w:right="2549"/>
        <w:jc w:val="right"/>
        <w:rPr>
          <w:color w:val="auto"/>
          <w:highlight w:val="none"/>
        </w:rPr>
      </w:pPr>
    </w:p>
    <w:p w14:paraId="3849E784">
      <w:pPr>
        <w:pStyle w:val="9"/>
        <w:spacing w:before="140"/>
        <w:ind w:left="0" w:right="2549"/>
        <w:jc w:val="right"/>
        <w:rPr>
          <w:color w:val="auto"/>
          <w:highlight w:val="none"/>
        </w:rPr>
      </w:pPr>
    </w:p>
    <w:p w14:paraId="09EE9463">
      <w:pPr>
        <w:pStyle w:val="9"/>
        <w:spacing w:before="140"/>
        <w:ind w:left="0" w:right="2549"/>
        <w:jc w:val="right"/>
        <w:rPr>
          <w:color w:val="auto"/>
          <w:highlight w:val="none"/>
        </w:rPr>
      </w:pPr>
    </w:p>
    <w:p w14:paraId="0C7F6D71">
      <w:pPr>
        <w:pStyle w:val="9"/>
        <w:spacing w:before="140"/>
        <w:ind w:left="0" w:right="2549"/>
        <w:jc w:val="right"/>
        <w:rPr>
          <w:color w:val="auto"/>
          <w:highlight w:val="none"/>
        </w:rPr>
      </w:pPr>
    </w:p>
    <w:p w14:paraId="128C788B">
      <w:pPr>
        <w:pStyle w:val="9"/>
        <w:spacing w:before="140"/>
        <w:ind w:left="0" w:right="2549"/>
        <w:jc w:val="right"/>
        <w:rPr>
          <w:color w:val="auto"/>
          <w:highlight w:val="none"/>
        </w:rPr>
      </w:pPr>
    </w:p>
    <w:p w14:paraId="635C4C60">
      <w:pPr>
        <w:pStyle w:val="9"/>
        <w:spacing w:before="140"/>
        <w:ind w:left="0" w:right="2549"/>
        <w:jc w:val="right"/>
        <w:rPr>
          <w:color w:val="auto"/>
          <w:highlight w:val="none"/>
        </w:rPr>
      </w:pPr>
    </w:p>
    <w:p w14:paraId="7A4F7214">
      <w:pPr>
        <w:pStyle w:val="9"/>
        <w:spacing w:before="140"/>
        <w:ind w:left="0" w:right="2549"/>
        <w:jc w:val="right"/>
        <w:rPr>
          <w:color w:val="auto"/>
          <w:highlight w:val="none"/>
        </w:rPr>
      </w:pPr>
    </w:p>
    <w:p w14:paraId="7FBCE70C">
      <w:pPr>
        <w:pStyle w:val="9"/>
        <w:spacing w:before="140"/>
        <w:ind w:left="0" w:right="2549"/>
        <w:jc w:val="right"/>
        <w:rPr>
          <w:color w:val="auto"/>
          <w:highlight w:val="none"/>
        </w:rPr>
      </w:pPr>
    </w:p>
    <w:p w14:paraId="0683E7ED">
      <w:pPr>
        <w:pStyle w:val="9"/>
        <w:spacing w:before="140"/>
        <w:ind w:left="0" w:right="2549"/>
        <w:jc w:val="right"/>
        <w:rPr>
          <w:color w:val="auto"/>
          <w:highlight w:val="none"/>
        </w:rPr>
      </w:pPr>
    </w:p>
    <w:p w14:paraId="0B29C5D5">
      <w:pPr>
        <w:pStyle w:val="9"/>
        <w:spacing w:before="140"/>
        <w:ind w:left="0" w:right="2549"/>
        <w:jc w:val="right"/>
        <w:rPr>
          <w:color w:val="auto"/>
          <w:highlight w:val="none"/>
        </w:rPr>
      </w:pPr>
    </w:p>
    <w:p w14:paraId="5C280CB9">
      <w:pPr>
        <w:pStyle w:val="9"/>
        <w:spacing w:before="140"/>
        <w:ind w:left="0" w:right="2549"/>
        <w:jc w:val="right"/>
        <w:rPr>
          <w:color w:val="auto"/>
          <w:highlight w:val="none"/>
        </w:rPr>
      </w:pPr>
    </w:p>
    <w:p w14:paraId="2DC544CC">
      <w:pPr>
        <w:pStyle w:val="9"/>
        <w:spacing w:before="140"/>
        <w:ind w:left="0" w:right="2549"/>
        <w:jc w:val="right"/>
        <w:rPr>
          <w:color w:val="auto"/>
          <w:highlight w:val="none"/>
        </w:rPr>
      </w:pPr>
    </w:p>
    <w:p w14:paraId="7818D946">
      <w:pPr>
        <w:pStyle w:val="9"/>
        <w:spacing w:before="140"/>
        <w:ind w:left="0" w:right="2549"/>
        <w:jc w:val="right"/>
        <w:rPr>
          <w:color w:val="auto"/>
          <w:highlight w:val="none"/>
        </w:rPr>
      </w:pPr>
    </w:p>
    <w:p w14:paraId="02546CCA">
      <w:pPr>
        <w:pStyle w:val="15"/>
        <w:rPr>
          <w:color w:val="auto"/>
          <w:highlight w:val="none"/>
        </w:rPr>
      </w:pPr>
    </w:p>
    <w:p w14:paraId="2622DEA1">
      <w:pPr>
        <w:rPr>
          <w:color w:val="auto"/>
          <w:highlight w:val="none"/>
        </w:rPr>
      </w:pPr>
    </w:p>
    <w:p w14:paraId="49950A34">
      <w:pPr>
        <w:rPr>
          <w:color w:val="auto"/>
          <w:highlight w:val="none"/>
        </w:rPr>
      </w:pPr>
    </w:p>
    <w:p w14:paraId="51157118">
      <w:pPr>
        <w:rPr>
          <w:color w:val="auto"/>
          <w:highlight w:val="none"/>
        </w:rPr>
      </w:pPr>
    </w:p>
    <w:p w14:paraId="0857BD29">
      <w:pPr>
        <w:pStyle w:val="9"/>
        <w:spacing w:before="140"/>
        <w:ind w:left="0" w:right="2549"/>
        <w:jc w:val="right"/>
        <w:rPr>
          <w:color w:val="auto"/>
          <w:highlight w:val="none"/>
        </w:rPr>
      </w:pPr>
    </w:p>
    <w:p w14:paraId="79D3692F">
      <w:pPr>
        <w:pStyle w:val="4"/>
        <w:ind w:left="295" w:right="362"/>
        <w:jc w:val="center"/>
        <w:rPr>
          <w:color w:val="auto"/>
          <w:sz w:val="28"/>
          <w:szCs w:val="28"/>
          <w:highlight w:val="none"/>
        </w:rPr>
      </w:pPr>
      <w:bookmarkStart w:id="296" w:name="_Toc22616"/>
      <w:bookmarkStart w:id="297" w:name="_Toc4779"/>
      <w:bookmarkStart w:id="298" w:name="_Toc21383"/>
      <w:bookmarkStart w:id="299" w:name="_Toc16096"/>
      <w:bookmarkStart w:id="300" w:name="_Toc6883"/>
      <w:r>
        <w:rPr>
          <w:color w:val="auto"/>
          <w:sz w:val="28"/>
          <w:szCs w:val="28"/>
          <w:highlight w:val="none"/>
        </w:rPr>
        <w:t>四、授权委托书</w:t>
      </w:r>
      <w:bookmarkEnd w:id="296"/>
      <w:bookmarkEnd w:id="297"/>
      <w:bookmarkEnd w:id="298"/>
      <w:bookmarkEnd w:id="299"/>
      <w:bookmarkEnd w:id="300"/>
    </w:p>
    <w:p w14:paraId="6233B052">
      <w:pPr>
        <w:pStyle w:val="9"/>
        <w:tabs>
          <w:tab w:val="left" w:pos="3850"/>
          <w:tab w:val="left" w:pos="8364"/>
        </w:tabs>
        <w:spacing w:before="141" w:line="379" w:lineRule="auto"/>
        <w:ind w:left="106" w:right="149"/>
        <w:jc w:val="left"/>
        <w:rPr>
          <w:rFonts w:hint="eastAsia"/>
          <w:color w:val="auto"/>
          <w:sz w:val="24"/>
          <w:szCs w:val="24"/>
          <w:highlight w:val="none"/>
          <w:u w:val="single"/>
          <w:lang w:val="en-US" w:eastAsia="zh-CN"/>
        </w:rPr>
      </w:pPr>
      <w:r>
        <w:rPr>
          <w:rFonts w:hint="eastAsia"/>
          <w:color w:val="auto"/>
          <w:sz w:val="24"/>
          <w:szCs w:val="24"/>
          <w:highlight w:val="none"/>
          <w:lang w:val="en-US" w:eastAsia="zh-CN"/>
        </w:rPr>
        <w:t xml:space="preserve">    </w:t>
      </w:r>
      <w:r>
        <w:rPr>
          <w:color w:val="auto"/>
          <w:sz w:val="24"/>
          <w:szCs w:val="24"/>
          <w:highlight w:val="none"/>
        </w:rPr>
        <w:t>本人</w:t>
      </w:r>
      <w:r>
        <w:rPr>
          <w:rFonts w:ascii="Times New Roman" w:eastAsia="Times New Roman"/>
          <w:color w:val="auto"/>
          <w:sz w:val="24"/>
          <w:szCs w:val="24"/>
          <w:highlight w:val="none"/>
          <w:u w:val="single"/>
        </w:rPr>
        <w:tab/>
      </w:r>
      <w:r>
        <w:rPr>
          <w:color w:val="auto"/>
          <w:sz w:val="24"/>
          <w:szCs w:val="24"/>
          <w:highlight w:val="none"/>
        </w:rPr>
        <w:t>（姓名）系</w:t>
      </w:r>
      <w:r>
        <w:rPr>
          <w:rFonts w:ascii="Times New Roman" w:eastAsia="Times New Roman"/>
          <w:color w:val="auto"/>
          <w:sz w:val="24"/>
          <w:szCs w:val="24"/>
          <w:highlight w:val="none"/>
          <w:u w:val="single"/>
        </w:rPr>
        <w:tab/>
      </w:r>
      <w:r>
        <w:rPr>
          <w:color w:val="auto"/>
          <w:sz w:val="24"/>
          <w:szCs w:val="24"/>
          <w:highlight w:val="none"/>
        </w:rPr>
        <w:t>（供应商名称）的法定代表人，现委托</w:t>
      </w:r>
      <w:r>
        <w:rPr>
          <w:sz w:val="24"/>
          <w:szCs w:val="24"/>
          <w:highlight w:val="none"/>
          <w:u w:val="single"/>
        </w:rPr>
        <w:t>（姓名）</w:t>
      </w:r>
      <w:r>
        <w:rPr>
          <w:rFonts w:hint="eastAsia"/>
          <w:sz w:val="24"/>
          <w:szCs w:val="24"/>
          <w:highlight w:val="none"/>
          <w:u w:val="single"/>
          <w:lang w:eastAsia="zh-CN"/>
        </w:rPr>
        <w:t>（</w:t>
      </w:r>
      <w:r>
        <w:rPr>
          <w:rFonts w:hint="eastAsia"/>
          <w:sz w:val="24"/>
          <w:szCs w:val="24"/>
          <w:highlight w:val="none"/>
          <w:u w:val="single"/>
          <w:lang w:val="en-US" w:eastAsia="zh-CN"/>
        </w:rPr>
        <w:t>签字）</w:t>
      </w:r>
      <w:r>
        <w:rPr>
          <w:color w:val="auto"/>
          <w:sz w:val="24"/>
          <w:szCs w:val="24"/>
          <w:highlight w:val="none"/>
        </w:rPr>
        <w:t>为我方代理人，参加</w:t>
      </w:r>
      <w:r>
        <w:rPr>
          <w:rFonts w:ascii="Times New Roman" w:eastAsia="Times New Roman"/>
          <w:color w:val="auto"/>
          <w:sz w:val="24"/>
          <w:szCs w:val="24"/>
          <w:highlight w:val="none"/>
          <w:u w:val="single"/>
        </w:rPr>
        <w:tab/>
      </w:r>
      <w:r>
        <w:rPr>
          <w:rFonts w:hint="eastAsia" w:ascii="Times New Roman" w:eastAsia="宋体"/>
          <w:color w:val="auto"/>
          <w:sz w:val="24"/>
          <w:szCs w:val="24"/>
          <w:highlight w:val="none"/>
          <w:u w:val="single"/>
          <w:lang w:val="en-US" w:eastAsia="zh-CN"/>
        </w:rPr>
        <w:t xml:space="preserve">    </w:t>
      </w:r>
      <w:r>
        <w:rPr>
          <w:color w:val="auto"/>
          <w:sz w:val="24"/>
          <w:szCs w:val="24"/>
          <w:highlight w:val="none"/>
        </w:rPr>
        <w:t>（项目名称）的采购，项目编号：</w:t>
      </w:r>
      <w:r>
        <w:rPr>
          <w:rFonts w:ascii="Times New Roman" w:eastAsia="Times New Roman"/>
          <w:color w:val="auto"/>
          <w:sz w:val="24"/>
          <w:szCs w:val="24"/>
          <w:highlight w:val="none"/>
          <w:u w:val="single"/>
        </w:rPr>
        <w:tab/>
      </w:r>
      <w:r>
        <w:rPr>
          <w:rFonts w:hint="eastAsia" w:ascii="Times New Roman" w:eastAsia="宋体"/>
          <w:color w:val="auto"/>
          <w:sz w:val="24"/>
          <w:szCs w:val="24"/>
          <w:highlight w:val="none"/>
          <w:u w:val="single"/>
          <w:lang w:val="en-US" w:eastAsia="zh-CN"/>
        </w:rPr>
        <w:t xml:space="preserve"> </w:t>
      </w:r>
      <w:r>
        <w:rPr>
          <w:color w:val="auto"/>
          <w:sz w:val="24"/>
          <w:szCs w:val="24"/>
          <w:highlight w:val="none"/>
        </w:rPr>
        <w:t>。代理人根据授权，以我</w:t>
      </w:r>
      <w:r>
        <w:rPr>
          <w:color w:val="auto"/>
          <w:spacing w:val="-18"/>
          <w:sz w:val="24"/>
          <w:szCs w:val="24"/>
          <w:highlight w:val="none"/>
        </w:rPr>
        <w:t>方</w:t>
      </w:r>
      <w:r>
        <w:rPr>
          <w:color w:val="auto"/>
          <w:sz w:val="24"/>
          <w:szCs w:val="24"/>
          <w:highlight w:val="none"/>
        </w:rPr>
        <w:t>名义签署、澄清确认、递交、撤回、修改磋商项目响应文件、签订合同和处理有关事宜，其法律后果由我方承担。委托期限</w:t>
      </w:r>
      <w:r>
        <w:rPr>
          <w:color w:val="auto"/>
          <w:spacing w:val="-18"/>
          <w:sz w:val="24"/>
          <w:szCs w:val="24"/>
          <w:highlight w:val="none"/>
        </w:rPr>
        <w:t>：</w:t>
      </w:r>
      <w:r>
        <w:rPr>
          <w:rFonts w:hint="eastAsia"/>
          <w:color w:val="auto"/>
          <w:sz w:val="24"/>
          <w:szCs w:val="24"/>
          <w:highlight w:val="none"/>
          <w:u w:val="single"/>
          <w:lang w:val="en-US" w:eastAsia="zh-CN"/>
        </w:rPr>
        <w:t xml:space="preserve">         。</w:t>
      </w:r>
    </w:p>
    <w:p w14:paraId="3F9C0E74">
      <w:pPr>
        <w:pStyle w:val="9"/>
        <w:tabs>
          <w:tab w:val="left" w:pos="3850"/>
          <w:tab w:val="left" w:pos="8364"/>
        </w:tabs>
        <w:spacing w:before="141" w:line="379" w:lineRule="auto"/>
        <w:ind w:left="106" w:right="149" w:firstLine="480" w:firstLineChars="200"/>
        <w:jc w:val="left"/>
        <w:rPr>
          <w:color w:val="auto"/>
          <w:sz w:val="24"/>
          <w:szCs w:val="24"/>
          <w:highlight w:val="none"/>
        </w:rPr>
      </w:pPr>
      <w:r>
        <w:rPr>
          <w:color w:val="auto"/>
          <w:sz w:val="24"/>
          <w:szCs w:val="24"/>
          <w:highlight w:val="none"/>
        </w:rPr>
        <w:t>代理人无转委托权。</w:t>
      </w:r>
    </w:p>
    <w:p w14:paraId="45E2183A">
      <w:pPr>
        <w:pStyle w:val="9"/>
        <w:keepNext w:val="0"/>
        <w:keepLines w:val="0"/>
        <w:pageBreakBefore w:val="0"/>
        <w:widowControl w:val="0"/>
        <w:tabs>
          <w:tab w:val="left" w:pos="3823"/>
          <w:tab w:val="left" w:pos="3992"/>
        </w:tabs>
        <w:kinsoku/>
        <w:wordWrap/>
        <w:overflowPunct/>
        <w:topLinePunct w:val="0"/>
        <w:autoSpaceDE w:val="0"/>
        <w:autoSpaceDN w:val="0"/>
        <w:bidi w:val="0"/>
        <w:adjustRightInd/>
        <w:snapToGrid/>
        <w:spacing w:before="0" w:line="360" w:lineRule="auto"/>
        <w:ind w:left="0" w:right="0" w:firstLine="480" w:firstLineChars="200"/>
        <w:textAlignment w:val="auto"/>
        <w:rPr>
          <w:rFonts w:ascii="Times New Roman" w:eastAsia="Times New Roman"/>
          <w:sz w:val="24"/>
          <w:szCs w:val="24"/>
          <w:highlight w:val="none"/>
          <w:u w:val="single"/>
        </w:rPr>
      </w:pPr>
      <w:r>
        <w:rPr>
          <w:sz w:val="24"/>
          <w:szCs w:val="24"/>
          <w:highlight w:val="none"/>
        </w:rPr>
        <w:t>供</w:t>
      </w:r>
      <w:r>
        <w:rPr>
          <w:spacing w:val="-27"/>
          <w:sz w:val="24"/>
          <w:szCs w:val="24"/>
          <w:highlight w:val="none"/>
        </w:rPr>
        <w:t xml:space="preserve"> </w:t>
      </w:r>
      <w:r>
        <w:rPr>
          <w:sz w:val="24"/>
          <w:szCs w:val="24"/>
          <w:highlight w:val="none"/>
        </w:rPr>
        <w:t>应</w:t>
      </w:r>
      <w:r>
        <w:rPr>
          <w:spacing w:val="-27"/>
          <w:sz w:val="24"/>
          <w:szCs w:val="24"/>
          <w:highlight w:val="none"/>
        </w:rPr>
        <w:t xml:space="preserve"> </w:t>
      </w:r>
      <w:r>
        <w:rPr>
          <w:sz w:val="24"/>
          <w:szCs w:val="24"/>
          <w:highlight w:val="none"/>
        </w:rPr>
        <w:t>商（盖章）：</w:t>
      </w:r>
      <w:r>
        <w:rPr>
          <w:rFonts w:ascii="Times New Roman" w:eastAsia="Times New Roman"/>
          <w:w w:val="101"/>
          <w:sz w:val="24"/>
          <w:szCs w:val="24"/>
          <w:highlight w:val="none"/>
          <w:u w:val="single"/>
        </w:rPr>
        <w:t xml:space="preserve"> </w:t>
      </w:r>
      <w:r>
        <w:rPr>
          <w:rFonts w:ascii="Times New Roman" w:eastAsia="Times New Roman"/>
          <w:sz w:val="24"/>
          <w:szCs w:val="24"/>
          <w:highlight w:val="none"/>
          <w:u w:val="single"/>
        </w:rPr>
        <w:tab/>
      </w:r>
      <w:r>
        <w:rPr>
          <w:rFonts w:ascii="Times New Roman" w:eastAsia="Times New Roman"/>
          <w:sz w:val="24"/>
          <w:szCs w:val="24"/>
          <w:highlight w:val="none"/>
          <w:u w:val="single"/>
        </w:rPr>
        <w:t xml:space="preserve">                </w:t>
      </w:r>
    </w:p>
    <w:p w14:paraId="34EDDAA5">
      <w:pPr>
        <w:pStyle w:val="9"/>
        <w:keepNext w:val="0"/>
        <w:keepLines w:val="0"/>
        <w:pageBreakBefore w:val="0"/>
        <w:widowControl w:val="0"/>
        <w:tabs>
          <w:tab w:val="left" w:pos="3823"/>
          <w:tab w:val="left" w:pos="3992"/>
        </w:tabs>
        <w:kinsoku/>
        <w:wordWrap/>
        <w:overflowPunct/>
        <w:topLinePunct w:val="0"/>
        <w:autoSpaceDE w:val="0"/>
        <w:autoSpaceDN w:val="0"/>
        <w:bidi w:val="0"/>
        <w:adjustRightInd/>
        <w:snapToGrid/>
        <w:spacing w:before="0" w:line="360" w:lineRule="auto"/>
        <w:ind w:left="0" w:right="0" w:firstLine="480" w:firstLineChars="200"/>
        <w:textAlignment w:val="auto"/>
        <w:rPr>
          <w:rFonts w:ascii="Times New Roman" w:eastAsia="Times New Roman"/>
          <w:sz w:val="24"/>
          <w:szCs w:val="24"/>
          <w:highlight w:val="none"/>
        </w:rPr>
      </w:pPr>
      <w:r>
        <w:rPr>
          <w:sz w:val="24"/>
          <w:szCs w:val="24"/>
          <w:highlight w:val="none"/>
        </w:rPr>
        <w:t>法定代表人（签字）：</w:t>
      </w:r>
      <w:r>
        <w:rPr>
          <w:rFonts w:ascii="Times New Roman" w:eastAsia="Times New Roman"/>
          <w:sz w:val="24"/>
          <w:szCs w:val="24"/>
          <w:highlight w:val="none"/>
          <w:u w:val="single"/>
        </w:rPr>
        <w:t xml:space="preserve"> </w:t>
      </w:r>
      <w:r>
        <w:rPr>
          <w:rFonts w:ascii="Times New Roman" w:eastAsia="Times New Roman"/>
          <w:sz w:val="24"/>
          <w:szCs w:val="24"/>
          <w:highlight w:val="none"/>
          <w:u w:val="single"/>
        </w:rPr>
        <w:tab/>
      </w:r>
      <w:r>
        <w:rPr>
          <w:rFonts w:ascii="Times New Roman" w:eastAsia="Times New Roman"/>
          <w:sz w:val="24"/>
          <w:szCs w:val="24"/>
          <w:highlight w:val="none"/>
          <w:u w:val="single"/>
        </w:rPr>
        <w:tab/>
      </w:r>
    </w:p>
    <w:p w14:paraId="2602D9F8">
      <w:pPr>
        <w:pStyle w:val="9"/>
        <w:keepNext w:val="0"/>
        <w:keepLines w:val="0"/>
        <w:pageBreakBefore w:val="0"/>
        <w:widowControl w:val="0"/>
        <w:tabs>
          <w:tab w:val="left" w:pos="4088"/>
        </w:tabs>
        <w:kinsoku/>
        <w:wordWrap/>
        <w:overflowPunct/>
        <w:topLinePunct w:val="0"/>
        <w:autoSpaceDE w:val="0"/>
        <w:autoSpaceDN w:val="0"/>
        <w:bidi w:val="0"/>
        <w:adjustRightInd/>
        <w:snapToGrid/>
        <w:spacing w:before="0" w:line="360" w:lineRule="auto"/>
        <w:ind w:left="0" w:right="0" w:firstLine="480" w:firstLineChars="200"/>
        <w:textAlignment w:val="auto"/>
        <w:rPr>
          <w:rFonts w:ascii="Times New Roman" w:eastAsia="Times New Roman"/>
          <w:sz w:val="24"/>
          <w:szCs w:val="24"/>
          <w:highlight w:val="none"/>
        </w:rPr>
      </w:pPr>
      <w:r>
        <w:rPr>
          <w:sz w:val="24"/>
          <w:szCs w:val="24"/>
          <w:highlight w:val="none"/>
        </w:rPr>
        <w:t>授权委托人（签字）：</w:t>
      </w:r>
      <w:r>
        <w:rPr>
          <w:rFonts w:ascii="Times New Roman" w:eastAsia="Times New Roman"/>
          <w:sz w:val="24"/>
          <w:szCs w:val="24"/>
          <w:highlight w:val="none"/>
          <w:u w:val="single"/>
        </w:rPr>
        <w:t xml:space="preserve"> </w:t>
      </w:r>
      <w:r>
        <w:rPr>
          <w:rFonts w:ascii="Times New Roman" w:eastAsia="Times New Roman"/>
          <w:sz w:val="24"/>
          <w:szCs w:val="24"/>
          <w:highlight w:val="none"/>
          <w:u w:val="single"/>
        </w:rPr>
        <w:tab/>
      </w:r>
    </w:p>
    <w:p w14:paraId="26347809">
      <w:pPr>
        <w:pStyle w:val="9"/>
        <w:spacing w:before="9"/>
        <w:rPr>
          <w:rFonts w:ascii="Times New Roman"/>
          <w:sz w:val="6"/>
          <w:highlight w:val="none"/>
        </w:rPr>
      </w:pPr>
    </w:p>
    <w:p w14:paraId="4CF83175">
      <w:pPr>
        <w:pStyle w:val="9"/>
        <w:spacing w:before="9"/>
        <w:ind w:left="0"/>
        <w:rPr>
          <w:rFonts w:ascii="Times New Roman"/>
          <w:color w:val="auto"/>
          <w:sz w:val="6"/>
          <w:highlight w:val="none"/>
        </w:rPr>
      </w:pPr>
    </w:p>
    <w:tbl>
      <w:tblPr>
        <w:tblStyle w:val="19"/>
        <w:tblW w:w="0" w:type="auto"/>
        <w:jc w:val="center"/>
        <w:tblBorders>
          <w:top w:val="single" w:color="7F7F7F" w:sz="6" w:space="0"/>
          <w:left w:val="single" w:color="7F7F7F" w:sz="6" w:space="0"/>
          <w:bottom w:val="single" w:color="7F7F7F" w:sz="6" w:space="0"/>
          <w:right w:val="single" w:color="7F7F7F" w:sz="6" w:space="0"/>
          <w:insideH w:val="single" w:color="7F7F7F" w:sz="6" w:space="0"/>
          <w:insideV w:val="single" w:color="7F7F7F" w:sz="6" w:space="0"/>
        </w:tblBorders>
        <w:tblLayout w:type="fixed"/>
        <w:tblCellMar>
          <w:top w:w="0" w:type="dxa"/>
          <w:left w:w="0" w:type="dxa"/>
          <w:bottom w:w="0" w:type="dxa"/>
          <w:right w:w="0" w:type="dxa"/>
        </w:tblCellMar>
      </w:tblPr>
      <w:tblGrid>
        <w:gridCol w:w="5191"/>
        <w:gridCol w:w="5191"/>
      </w:tblGrid>
      <w:tr w14:paraId="53271D9B">
        <w:tblPrEx>
          <w:tblBorders>
            <w:top w:val="single" w:color="7F7F7F" w:sz="6" w:space="0"/>
            <w:left w:val="single" w:color="7F7F7F" w:sz="6" w:space="0"/>
            <w:bottom w:val="single" w:color="7F7F7F" w:sz="6" w:space="0"/>
            <w:right w:val="single" w:color="7F7F7F" w:sz="6" w:space="0"/>
            <w:insideH w:val="single" w:color="7F7F7F" w:sz="6" w:space="0"/>
            <w:insideV w:val="single" w:color="7F7F7F" w:sz="6" w:space="0"/>
          </w:tblBorders>
          <w:tblCellMar>
            <w:top w:w="0" w:type="dxa"/>
            <w:left w:w="0" w:type="dxa"/>
            <w:bottom w:w="0" w:type="dxa"/>
            <w:right w:w="0" w:type="dxa"/>
          </w:tblCellMar>
        </w:tblPrEx>
        <w:trPr>
          <w:trHeight w:val="2396" w:hRule="atLeast"/>
          <w:jc w:val="center"/>
        </w:trPr>
        <w:tc>
          <w:tcPr>
            <w:tcW w:w="5191" w:type="dxa"/>
            <w:tcBorders>
              <w:bottom w:val="single" w:color="7F7F7F" w:sz="12" w:space="0"/>
              <w:right w:val="single" w:color="7F7F7F" w:sz="12" w:space="0"/>
            </w:tcBorders>
          </w:tcPr>
          <w:p w14:paraId="7D4E085C">
            <w:pPr>
              <w:pStyle w:val="28"/>
              <w:spacing w:before="60" w:line="379" w:lineRule="auto"/>
              <w:ind w:left="2591" w:right="1326" w:hanging="865"/>
              <w:jc w:val="center"/>
              <w:rPr>
                <w:color w:val="auto"/>
                <w:sz w:val="24"/>
                <w:szCs w:val="24"/>
                <w:highlight w:val="none"/>
              </w:rPr>
            </w:pPr>
            <w:r>
              <w:rPr>
                <w:color w:val="auto"/>
                <w:sz w:val="24"/>
                <w:szCs w:val="24"/>
                <w:highlight w:val="none"/>
              </w:rPr>
              <w:t>法定代表人身份证</w:t>
            </w:r>
          </w:p>
        </w:tc>
        <w:tc>
          <w:tcPr>
            <w:tcW w:w="5191" w:type="dxa"/>
            <w:tcBorders>
              <w:left w:val="single" w:color="7F7F7F" w:sz="12" w:space="0"/>
              <w:bottom w:val="single" w:color="7F7F7F" w:sz="12" w:space="0"/>
            </w:tcBorders>
          </w:tcPr>
          <w:p w14:paraId="731D7FEE">
            <w:pPr>
              <w:pStyle w:val="28"/>
              <w:spacing w:before="60" w:line="379" w:lineRule="auto"/>
              <w:ind w:left="2590" w:right="1327" w:hanging="865"/>
              <w:jc w:val="center"/>
              <w:rPr>
                <w:color w:val="auto"/>
                <w:sz w:val="24"/>
                <w:szCs w:val="24"/>
                <w:highlight w:val="none"/>
              </w:rPr>
            </w:pPr>
            <w:r>
              <w:rPr>
                <w:color w:val="auto"/>
                <w:sz w:val="24"/>
                <w:szCs w:val="24"/>
                <w:highlight w:val="none"/>
              </w:rPr>
              <w:t>法定代表人身份证</w:t>
            </w:r>
          </w:p>
        </w:tc>
      </w:tr>
      <w:tr w14:paraId="6AEBAB47">
        <w:tblPrEx>
          <w:tblBorders>
            <w:top w:val="single" w:color="7F7F7F" w:sz="6" w:space="0"/>
            <w:left w:val="single" w:color="7F7F7F" w:sz="6" w:space="0"/>
            <w:bottom w:val="single" w:color="7F7F7F" w:sz="6" w:space="0"/>
            <w:right w:val="single" w:color="7F7F7F" w:sz="6" w:space="0"/>
            <w:insideH w:val="single" w:color="7F7F7F" w:sz="6" w:space="0"/>
            <w:insideV w:val="single" w:color="7F7F7F" w:sz="6" w:space="0"/>
          </w:tblBorders>
          <w:tblCellMar>
            <w:top w:w="0" w:type="dxa"/>
            <w:left w:w="0" w:type="dxa"/>
            <w:bottom w:w="0" w:type="dxa"/>
            <w:right w:w="0" w:type="dxa"/>
          </w:tblCellMar>
        </w:tblPrEx>
        <w:trPr>
          <w:trHeight w:val="2396" w:hRule="atLeast"/>
          <w:jc w:val="center"/>
        </w:trPr>
        <w:tc>
          <w:tcPr>
            <w:tcW w:w="5191" w:type="dxa"/>
            <w:tcBorders>
              <w:top w:val="single" w:color="7F7F7F" w:sz="12" w:space="0"/>
              <w:right w:val="single" w:color="7F7F7F" w:sz="12" w:space="0"/>
            </w:tcBorders>
          </w:tcPr>
          <w:p w14:paraId="1A842B7E">
            <w:pPr>
              <w:pStyle w:val="28"/>
              <w:spacing w:before="59" w:line="379" w:lineRule="auto"/>
              <w:ind w:left="2591" w:right="1326" w:hanging="865"/>
              <w:jc w:val="center"/>
              <w:rPr>
                <w:color w:val="auto"/>
                <w:sz w:val="24"/>
                <w:szCs w:val="24"/>
                <w:highlight w:val="none"/>
              </w:rPr>
            </w:pPr>
            <w:r>
              <w:rPr>
                <w:color w:val="auto"/>
                <w:sz w:val="24"/>
                <w:szCs w:val="24"/>
                <w:highlight w:val="none"/>
              </w:rPr>
              <w:t>授权委托人身份证</w:t>
            </w:r>
          </w:p>
        </w:tc>
        <w:tc>
          <w:tcPr>
            <w:tcW w:w="5191" w:type="dxa"/>
            <w:tcBorders>
              <w:top w:val="single" w:color="7F7F7F" w:sz="12" w:space="0"/>
              <w:left w:val="single" w:color="7F7F7F" w:sz="12" w:space="0"/>
            </w:tcBorders>
          </w:tcPr>
          <w:p w14:paraId="29D595B4">
            <w:pPr>
              <w:pStyle w:val="28"/>
              <w:spacing w:before="59" w:line="379" w:lineRule="auto"/>
              <w:ind w:left="2590" w:right="1327" w:hanging="865"/>
              <w:jc w:val="center"/>
              <w:rPr>
                <w:color w:val="auto"/>
                <w:sz w:val="24"/>
                <w:szCs w:val="24"/>
                <w:highlight w:val="none"/>
              </w:rPr>
            </w:pPr>
            <w:r>
              <w:rPr>
                <w:color w:val="auto"/>
                <w:sz w:val="24"/>
                <w:szCs w:val="24"/>
                <w:highlight w:val="none"/>
              </w:rPr>
              <w:t>授权委托人身份证</w:t>
            </w:r>
          </w:p>
        </w:tc>
      </w:tr>
    </w:tbl>
    <w:p w14:paraId="22E6702B">
      <w:pPr>
        <w:pStyle w:val="9"/>
        <w:tabs>
          <w:tab w:val="left" w:pos="960"/>
          <w:tab w:val="left" w:pos="1728"/>
          <w:tab w:val="left" w:pos="2496"/>
        </w:tabs>
        <w:spacing w:before="63"/>
        <w:ind w:left="0" w:right="149"/>
        <w:jc w:val="right"/>
        <w:rPr>
          <w:color w:val="auto"/>
          <w:sz w:val="24"/>
          <w:szCs w:val="24"/>
          <w:highlight w:val="none"/>
        </w:rPr>
      </w:pPr>
      <w:r>
        <w:rPr>
          <w:rFonts w:ascii="Times New Roman" w:eastAsia="Times New Roman"/>
          <w:color w:val="auto"/>
          <w:w w:val="101"/>
          <w:sz w:val="24"/>
          <w:szCs w:val="24"/>
          <w:highlight w:val="none"/>
          <w:u w:val="single"/>
        </w:rPr>
        <w:t xml:space="preserve"> </w:t>
      </w:r>
      <w:r>
        <w:rPr>
          <w:rFonts w:ascii="Times New Roman" w:eastAsia="Times New Roman"/>
          <w:color w:val="auto"/>
          <w:sz w:val="24"/>
          <w:szCs w:val="24"/>
          <w:highlight w:val="none"/>
          <w:u w:val="single"/>
        </w:rPr>
        <w:tab/>
      </w:r>
      <w:r>
        <w:rPr>
          <w:color w:val="auto"/>
          <w:sz w:val="24"/>
          <w:szCs w:val="24"/>
          <w:highlight w:val="none"/>
        </w:rPr>
        <w:t>年</w:t>
      </w:r>
      <w:r>
        <w:rPr>
          <w:rFonts w:ascii="Times New Roman" w:eastAsia="Times New Roman"/>
          <w:color w:val="auto"/>
          <w:sz w:val="24"/>
          <w:szCs w:val="24"/>
          <w:highlight w:val="none"/>
          <w:u w:val="single"/>
        </w:rPr>
        <w:tab/>
      </w:r>
      <w:r>
        <w:rPr>
          <w:color w:val="auto"/>
          <w:sz w:val="24"/>
          <w:szCs w:val="24"/>
          <w:highlight w:val="none"/>
        </w:rPr>
        <w:t>月</w:t>
      </w:r>
      <w:r>
        <w:rPr>
          <w:rFonts w:ascii="Times New Roman" w:eastAsia="Times New Roman"/>
          <w:color w:val="auto"/>
          <w:sz w:val="24"/>
          <w:szCs w:val="24"/>
          <w:highlight w:val="none"/>
          <w:u w:val="single"/>
        </w:rPr>
        <w:tab/>
      </w:r>
      <w:r>
        <w:rPr>
          <w:color w:val="auto"/>
          <w:sz w:val="24"/>
          <w:szCs w:val="24"/>
          <w:highlight w:val="none"/>
        </w:rPr>
        <w:t>日</w:t>
      </w:r>
    </w:p>
    <w:p w14:paraId="470E2D3B">
      <w:pPr>
        <w:spacing w:after="0"/>
        <w:jc w:val="right"/>
        <w:rPr>
          <w:color w:val="auto"/>
          <w:highlight w:val="none"/>
        </w:rPr>
        <w:sectPr>
          <w:pgSz w:w="11900" w:h="16840"/>
          <w:pgMar w:top="1599" w:right="1259" w:bottom="1599" w:left="1259" w:header="720" w:footer="91" w:gutter="0"/>
          <w:pgNumType w:fmt="decimal"/>
          <w:cols w:space="0" w:num="1"/>
          <w:rtlGutter w:val="0"/>
          <w:docGrid w:linePitch="0" w:charSpace="0"/>
        </w:sectPr>
      </w:pPr>
    </w:p>
    <w:p w14:paraId="13929E3D">
      <w:pPr>
        <w:pStyle w:val="9"/>
        <w:spacing w:before="5"/>
        <w:ind w:left="0"/>
        <w:rPr>
          <w:color w:val="auto"/>
          <w:sz w:val="28"/>
          <w:szCs w:val="28"/>
          <w:highlight w:val="none"/>
        </w:rPr>
      </w:pPr>
    </w:p>
    <w:p w14:paraId="6B8977D3">
      <w:pPr>
        <w:pStyle w:val="4"/>
        <w:ind w:left="295" w:right="362"/>
        <w:jc w:val="center"/>
        <w:rPr>
          <w:color w:val="auto"/>
          <w:sz w:val="28"/>
          <w:szCs w:val="28"/>
          <w:highlight w:val="none"/>
        </w:rPr>
      </w:pPr>
      <w:bookmarkStart w:id="301" w:name="_Toc7687"/>
      <w:bookmarkStart w:id="302" w:name="_Toc4269"/>
      <w:bookmarkStart w:id="303" w:name="_Toc7354"/>
      <w:bookmarkStart w:id="304" w:name="_Toc10501"/>
      <w:bookmarkStart w:id="305" w:name="_Toc26614"/>
      <w:r>
        <w:rPr>
          <w:color w:val="auto"/>
          <w:sz w:val="28"/>
          <w:szCs w:val="28"/>
          <w:highlight w:val="none"/>
        </w:rPr>
        <w:t>五、缴纳磋商保证金证明材料</w:t>
      </w:r>
      <w:bookmarkEnd w:id="301"/>
      <w:bookmarkEnd w:id="302"/>
      <w:bookmarkEnd w:id="303"/>
      <w:bookmarkEnd w:id="304"/>
      <w:bookmarkEnd w:id="305"/>
    </w:p>
    <w:p w14:paraId="2F91B410">
      <w:pPr>
        <w:pStyle w:val="9"/>
        <w:spacing w:before="111"/>
        <w:jc w:val="center"/>
        <w:rPr>
          <w:color w:val="auto"/>
          <w:sz w:val="24"/>
          <w:szCs w:val="24"/>
          <w:highlight w:val="none"/>
        </w:rPr>
      </w:pPr>
      <w:r>
        <w:rPr>
          <w:color w:val="auto"/>
          <w:sz w:val="24"/>
          <w:szCs w:val="24"/>
          <w:highlight w:val="none"/>
        </w:rPr>
        <w:t>供应商应提供缴纳保证金的证明材料原件扫描件。</w:t>
      </w:r>
    </w:p>
    <w:p w14:paraId="2ABF611E">
      <w:pPr>
        <w:spacing w:after="0"/>
        <w:rPr>
          <w:color w:val="auto"/>
          <w:highlight w:val="none"/>
        </w:rPr>
        <w:sectPr>
          <w:pgSz w:w="11900" w:h="16840"/>
          <w:pgMar w:top="1599" w:right="1259" w:bottom="1599" w:left="1259" w:header="720" w:footer="91" w:gutter="0"/>
          <w:pgNumType w:fmt="decimal"/>
          <w:cols w:space="0" w:num="1"/>
          <w:rtlGutter w:val="0"/>
          <w:docGrid w:linePitch="0" w:charSpace="0"/>
        </w:sectPr>
      </w:pPr>
    </w:p>
    <w:p w14:paraId="47B6EAA6">
      <w:pPr>
        <w:pStyle w:val="4"/>
        <w:spacing w:before="64"/>
        <w:ind w:left="295" w:right="362"/>
        <w:jc w:val="center"/>
        <w:rPr>
          <w:color w:val="auto"/>
          <w:sz w:val="28"/>
          <w:szCs w:val="28"/>
          <w:highlight w:val="none"/>
        </w:rPr>
      </w:pPr>
      <w:bookmarkStart w:id="306" w:name="_Toc4592"/>
      <w:bookmarkStart w:id="307" w:name="_Toc6224"/>
      <w:bookmarkStart w:id="308" w:name="_Toc23370"/>
      <w:bookmarkStart w:id="309" w:name="_Toc4510"/>
      <w:bookmarkStart w:id="310" w:name="_Toc4242"/>
      <w:r>
        <w:rPr>
          <w:color w:val="auto"/>
          <w:sz w:val="28"/>
          <w:szCs w:val="28"/>
          <w:highlight w:val="none"/>
        </w:rPr>
        <w:t>六、供应商基本情况表</w:t>
      </w:r>
      <w:bookmarkEnd w:id="306"/>
      <w:bookmarkEnd w:id="307"/>
      <w:bookmarkEnd w:id="308"/>
      <w:bookmarkEnd w:id="309"/>
      <w:bookmarkEnd w:id="310"/>
    </w:p>
    <w:p w14:paraId="5A69D9CB">
      <w:pPr>
        <w:pStyle w:val="9"/>
        <w:spacing w:before="2"/>
        <w:ind w:left="0"/>
        <w:rPr>
          <w:b/>
          <w:color w:val="auto"/>
          <w:sz w:val="13"/>
          <w:highlight w:val="none"/>
        </w:rPr>
      </w:pPr>
    </w:p>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04"/>
        <w:gridCol w:w="3865"/>
        <w:gridCol w:w="1404"/>
        <w:gridCol w:w="3877"/>
      </w:tblGrid>
      <w:tr w14:paraId="65AEBD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11EA57F9">
            <w:pPr>
              <w:pStyle w:val="28"/>
              <w:spacing w:before="60"/>
              <w:ind w:left="100"/>
              <w:rPr>
                <w:color w:val="auto"/>
                <w:sz w:val="24"/>
                <w:szCs w:val="24"/>
                <w:highlight w:val="none"/>
              </w:rPr>
            </w:pPr>
            <w:r>
              <w:rPr>
                <w:color w:val="auto"/>
                <w:sz w:val="24"/>
                <w:szCs w:val="24"/>
                <w:highlight w:val="none"/>
              </w:rPr>
              <w:t>供应商名称</w:t>
            </w:r>
          </w:p>
        </w:tc>
        <w:tc>
          <w:tcPr>
            <w:tcW w:w="3865" w:type="dxa"/>
          </w:tcPr>
          <w:p w14:paraId="4CBF8914">
            <w:pPr>
              <w:pStyle w:val="28"/>
              <w:rPr>
                <w:rFonts w:ascii="Times New Roman"/>
                <w:color w:val="auto"/>
                <w:sz w:val="24"/>
                <w:szCs w:val="24"/>
                <w:highlight w:val="none"/>
              </w:rPr>
            </w:pPr>
          </w:p>
        </w:tc>
        <w:tc>
          <w:tcPr>
            <w:tcW w:w="1404" w:type="dxa"/>
          </w:tcPr>
          <w:p w14:paraId="1D9DC39C">
            <w:pPr>
              <w:pStyle w:val="28"/>
              <w:spacing w:before="60"/>
              <w:ind w:left="101"/>
              <w:rPr>
                <w:color w:val="auto"/>
                <w:sz w:val="24"/>
                <w:szCs w:val="24"/>
                <w:highlight w:val="none"/>
              </w:rPr>
            </w:pPr>
            <w:r>
              <w:rPr>
                <w:color w:val="auto"/>
                <w:sz w:val="24"/>
                <w:szCs w:val="24"/>
                <w:highlight w:val="none"/>
              </w:rPr>
              <w:t>注册资金</w:t>
            </w:r>
          </w:p>
        </w:tc>
        <w:tc>
          <w:tcPr>
            <w:tcW w:w="3877" w:type="dxa"/>
          </w:tcPr>
          <w:p w14:paraId="62F8DA70">
            <w:pPr>
              <w:pStyle w:val="28"/>
              <w:rPr>
                <w:rFonts w:ascii="Times New Roman"/>
                <w:color w:val="auto"/>
                <w:sz w:val="24"/>
                <w:szCs w:val="24"/>
                <w:highlight w:val="none"/>
              </w:rPr>
            </w:pPr>
          </w:p>
        </w:tc>
      </w:tr>
      <w:tr w14:paraId="15D4E0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673E31B2">
            <w:pPr>
              <w:pStyle w:val="28"/>
              <w:spacing w:before="60"/>
              <w:ind w:left="100"/>
              <w:rPr>
                <w:color w:val="auto"/>
                <w:sz w:val="24"/>
                <w:szCs w:val="24"/>
                <w:highlight w:val="none"/>
              </w:rPr>
            </w:pPr>
            <w:r>
              <w:rPr>
                <w:color w:val="auto"/>
                <w:sz w:val="24"/>
                <w:szCs w:val="24"/>
                <w:highlight w:val="none"/>
              </w:rPr>
              <w:t>注册地</w:t>
            </w:r>
          </w:p>
        </w:tc>
        <w:tc>
          <w:tcPr>
            <w:tcW w:w="3865" w:type="dxa"/>
          </w:tcPr>
          <w:p w14:paraId="0F669F15">
            <w:pPr>
              <w:pStyle w:val="28"/>
              <w:rPr>
                <w:rFonts w:ascii="Times New Roman"/>
                <w:color w:val="auto"/>
                <w:sz w:val="24"/>
                <w:szCs w:val="24"/>
                <w:highlight w:val="none"/>
              </w:rPr>
            </w:pPr>
          </w:p>
        </w:tc>
        <w:tc>
          <w:tcPr>
            <w:tcW w:w="1404" w:type="dxa"/>
          </w:tcPr>
          <w:p w14:paraId="752DF274">
            <w:pPr>
              <w:pStyle w:val="28"/>
              <w:spacing w:before="60"/>
              <w:ind w:left="101"/>
              <w:rPr>
                <w:color w:val="auto"/>
                <w:sz w:val="24"/>
                <w:szCs w:val="24"/>
                <w:highlight w:val="none"/>
              </w:rPr>
            </w:pPr>
            <w:r>
              <w:rPr>
                <w:color w:val="auto"/>
                <w:sz w:val="24"/>
                <w:szCs w:val="24"/>
                <w:highlight w:val="none"/>
              </w:rPr>
              <w:t>注册时间</w:t>
            </w:r>
          </w:p>
        </w:tc>
        <w:tc>
          <w:tcPr>
            <w:tcW w:w="3877" w:type="dxa"/>
          </w:tcPr>
          <w:p w14:paraId="21321EE9">
            <w:pPr>
              <w:pStyle w:val="28"/>
              <w:rPr>
                <w:rFonts w:ascii="Times New Roman"/>
                <w:color w:val="auto"/>
                <w:sz w:val="24"/>
                <w:szCs w:val="24"/>
                <w:highlight w:val="none"/>
              </w:rPr>
            </w:pPr>
          </w:p>
        </w:tc>
      </w:tr>
      <w:tr w14:paraId="4DBAFE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0277FF61">
            <w:pPr>
              <w:pStyle w:val="28"/>
              <w:spacing w:before="60"/>
              <w:ind w:left="100"/>
              <w:rPr>
                <w:color w:val="auto"/>
                <w:sz w:val="24"/>
                <w:szCs w:val="24"/>
                <w:highlight w:val="none"/>
              </w:rPr>
            </w:pPr>
            <w:r>
              <w:rPr>
                <w:color w:val="auto"/>
                <w:sz w:val="24"/>
                <w:szCs w:val="24"/>
                <w:highlight w:val="none"/>
              </w:rPr>
              <w:t>法定代表人</w:t>
            </w:r>
          </w:p>
        </w:tc>
        <w:tc>
          <w:tcPr>
            <w:tcW w:w="3865" w:type="dxa"/>
          </w:tcPr>
          <w:p w14:paraId="65A02842">
            <w:pPr>
              <w:pStyle w:val="28"/>
              <w:rPr>
                <w:rFonts w:ascii="Times New Roman"/>
                <w:color w:val="auto"/>
                <w:sz w:val="24"/>
                <w:szCs w:val="24"/>
                <w:highlight w:val="none"/>
              </w:rPr>
            </w:pPr>
          </w:p>
        </w:tc>
        <w:tc>
          <w:tcPr>
            <w:tcW w:w="1404" w:type="dxa"/>
          </w:tcPr>
          <w:p w14:paraId="13878CDF">
            <w:pPr>
              <w:pStyle w:val="28"/>
              <w:spacing w:before="60"/>
              <w:ind w:left="101"/>
              <w:rPr>
                <w:color w:val="auto"/>
                <w:sz w:val="24"/>
                <w:szCs w:val="24"/>
                <w:highlight w:val="none"/>
              </w:rPr>
            </w:pPr>
            <w:r>
              <w:rPr>
                <w:color w:val="auto"/>
                <w:sz w:val="24"/>
                <w:szCs w:val="24"/>
                <w:highlight w:val="none"/>
              </w:rPr>
              <w:t>联系电话</w:t>
            </w:r>
          </w:p>
        </w:tc>
        <w:tc>
          <w:tcPr>
            <w:tcW w:w="3877" w:type="dxa"/>
          </w:tcPr>
          <w:p w14:paraId="0DBA0205">
            <w:pPr>
              <w:pStyle w:val="28"/>
              <w:rPr>
                <w:rFonts w:ascii="Times New Roman"/>
                <w:color w:val="auto"/>
                <w:sz w:val="24"/>
                <w:szCs w:val="24"/>
                <w:highlight w:val="none"/>
              </w:rPr>
            </w:pPr>
          </w:p>
        </w:tc>
      </w:tr>
      <w:tr w14:paraId="20DE20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6F4B2B84">
            <w:pPr>
              <w:pStyle w:val="28"/>
              <w:spacing w:before="60"/>
              <w:ind w:left="100"/>
              <w:rPr>
                <w:color w:val="auto"/>
                <w:sz w:val="24"/>
                <w:szCs w:val="24"/>
                <w:highlight w:val="none"/>
              </w:rPr>
            </w:pPr>
            <w:r>
              <w:rPr>
                <w:color w:val="auto"/>
                <w:sz w:val="24"/>
                <w:szCs w:val="24"/>
                <w:highlight w:val="none"/>
              </w:rPr>
              <w:t>技术负责人</w:t>
            </w:r>
          </w:p>
        </w:tc>
        <w:tc>
          <w:tcPr>
            <w:tcW w:w="3865" w:type="dxa"/>
          </w:tcPr>
          <w:p w14:paraId="3C04A23A">
            <w:pPr>
              <w:pStyle w:val="28"/>
              <w:rPr>
                <w:rFonts w:ascii="Times New Roman"/>
                <w:color w:val="auto"/>
                <w:sz w:val="24"/>
                <w:szCs w:val="24"/>
                <w:highlight w:val="none"/>
              </w:rPr>
            </w:pPr>
          </w:p>
        </w:tc>
        <w:tc>
          <w:tcPr>
            <w:tcW w:w="1404" w:type="dxa"/>
          </w:tcPr>
          <w:p w14:paraId="5420AA58">
            <w:pPr>
              <w:pStyle w:val="28"/>
              <w:spacing w:before="60"/>
              <w:ind w:left="101"/>
              <w:rPr>
                <w:color w:val="auto"/>
                <w:sz w:val="24"/>
                <w:szCs w:val="24"/>
                <w:highlight w:val="none"/>
              </w:rPr>
            </w:pPr>
            <w:r>
              <w:rPr>
                <w:color w:val="auto"/>
                <w:sz w:val="24"/>
                <w:szCs w:val="24"/>
                <w:highlight w:val="none"/>
              </w:rPr>
              <w:t>联系电话</w:t>
            </w:r>
          </w:p>
        </w:tc>
        <w:tc>
          <w:tcPr>
            <w:tcW w:w="3877" w:type="dxa"/>
          </w:tcPr>
          <w:p w14:paraId="40F69616">
            <w:pPr>
              <w:pStyle w:val="28"/>
              <w:rPr>
                <w:rFonts w:ascii="Times New Roman"/>
                <w:color w:val="auto"/>
                <w:sz w:val="24"/>
                <w:szCs w:val="24"/>
                <w:highlight w:val="none"/>
              </w:rPr>
            </w:pPr>
          </w:p>
        </w:tc>
      </w:tr>
      <w:tr w14:paraId="41E5F2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114E51E9">
            <w:pPr>
              <w:pStyle w:val="28"/>
              <w:spacing w:before="60"/>
              <w:ind w:left="100"/>
              <w:rPr>
                <w:color w:val="auto"/>
                <w:sz w:val="24"/>
                <w:szCs w:val="24"/>
                <w:highlight w:val="none"/>
              </w:rPr>
            </w:pPr>
            <w:r>
              <w:rPr>
                <w:color w:val="auto"/>
                <w:sz w:val="24"/>
                <w:szCs w:val="24"/>
                <w:highlight w:val="none"/>
              </w:rPr>
              <w:t>开户银行</w:t>
            </w:r>
          </w:p>
        </w:tc>
        <w:tc>
          <w:tcPr>
            <w:tcW w:w="9146" w:type="dxa"/>
            <w:gridSpan w:val="3"/>
          </w:tcPr>
          <w:p w14:paraId="66D4B464">
            <w:pPr>
              <w:pStyle w:val="28"/>
              <w:rPr>
                <w:rFonts w:ascii="Times New Roman"/>
                <w:color w:val="auto"/>
                <w:sz w:val="24"/>
                <w:szCs w:val="24"/>
                <w:highlight w:val="none"/>
              </w:rPr>
            </w:pPr>
          </w:p>
        </w:tc>
      </w:tr>
      <w:tr w14:paraId="4508F1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404" w:type="dxa"/>
          </w:tcPr>
          <w:p w14:paraId="5E71EE80">
            <w:pPr>
              <w:pStyle w:val="28"/>
              <w:spacing w:before="60"/>
              <w:ind w:left="100"/>
              <w:rPr>
                <w:color w:val="auto"/>
                <w:sz w:val="24"/>
                <w:szCs w:val="24"/>
                <w:highlight w:val="none"/>
              </w:rPr>
            </w:pPr>
            <w:r>
              <w:rPr>
                <w:color w:val="auto"/>
                <w:sz w:val="24"/>
                <w:szCs w:val="24"/>
                <w:highlight w:val="none"/>
              </w:rPr>
              <w:t>开户银行账号</w:t>
            </w:r>
          </w:p>
        </w:tc>
        <w:tc>
          <w:tcPr>
            <w:tcW w:w="9146" w:type="dxa"/>
            <w:gridSpan w:val="3"/>
          </w:tcPr>
          <w:p w14:paraId="79A8895A">
            <w:pPr>
              <w:pStyle w:val="28"/>
              <w:rPr>
                <w:rFonts w:ascii="Times New Roman"/>
                <w:color w:val="auto"/>
                <w:sz w:val="24"/>
                <w:szCs w:val="24"/>
                <w:highlight w:val="none"/>
              </w:rPr>
            </w:pPr>
          </w:p>
        </w:tc>
      </w:tr>
      <w:tr w14:paraId="55DBCB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0550" w:type="dxa"/>
            <w:gridSpan w:val="4"/>
          </w:tcPr>
          <w:p w14:paraId="55947AED">
            <w:pPr>
              <w:pStyle w:val="28"/>
              <w:spacing w:before="60"/>
              <w:ind w:left="100"/>
              <w:rPr>
                <w:color w:val="auto"/>
                <w:sz w:val="24"/>
                <w:szCs w:val="24"/>
                <w:highlight w:val="none"/>
              </w:rPr>
            </w:pPr>
            <w:r>
              <w:rPr>
                <w:color w:val="auto"/>
                <w:sz w:val="24"/>
                <w:szCs w:val="24"/>
                <w:highlight w:val="none"/>
              </w:rPr>
              <w:t>主营范围：</w:t>
            </w:r>
          </w:p>
        </w:tc>
      </w:tr>
      <w:tr w14:paraId="0D4E0F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jc w:val="center"/>
        </w:trPr>
        <w:tc>
          <w:tcPr>
            <w:tcW w:w="10550" w:type="dxa"/>
            <w:gridSpan w:val="4"/>
          </w:tcPr>
          <w:p w14:paraId="2633ED42">
            <w:pPr>
              <w:pStyle w:val="28"/>
              <w:spacing w:before="60"/>
              <w:ind w:left="100"/>
              <w:rPr>
                <w:color w:val="auto"/>
                <w:sz w:val="24"/>
                <w:szCs w:val="24"/>
                <w:highlight w:val="none"/>
              </w:rPr>
            </w:pPr>
            <w:r>
              <w:rPr>
                <w:color w:val="auto"/>
                <w:sz w:val="24"/>
                <w:szCs w:val="24"/>
                <w:highlight w:val="none"/>
              </w:rPr>
              <w:t>企业资质：</w:t>
            </w:r>
          </w:p>
        </w:tc>
      </w:tr>
    </w:tbl>
    <w:p w14:paraId="554AA89B">
      <w:pPr>
        <w:spacing w:after="0"/>
        <w:rPr>
          <w:color w:val="auto"/>
          <w:sz w:val="19"/>
          <w:highlight w:val="none"/>
        </w:rPr>
        <w:sectPr>
          <w:pgSz w:w="11900" w:h="16840"/>
          <w:pgMar w:top="1599" w:right="1259" w:bottom="1599" w:left="1259" w:header="720" w:footer="91" w:gutter="0"/>
          <w:pgNumType w:fmt="decimal"/>
          <w:cols w:space="0" w:num="1"/>
          <w:rtlGutter w:val="0"/>
          <w:docGrid w:linePitch="0" w:charSpace="0"/>
        </w:sectPr>
      </w:pPr>
    </w:p>
    <w:p w14:paraId="095AD281">
      <w:pPr>
        <w:numPr>
          <w:ilvl w:val="0"/>
          <w:numId w:val="20"/>
        </w:numPr>
        <w:spacing w:before="64"/>
        <w:ind w:left="295" w:right="362" w:firstLine="0"/>
        <w:jc w:val="center"/>
        <w:rPr>
          <w:b/>
          <w:color w:val="auto"/>
          <w:sz w:val="28"/>
          <w:szCs w:val="28"/>
          <w:highlight w:val="none"/>
        </w:rPr>
      </w:pPr>
      <w:r>
        <w:rPr>
          <w:b/>
          <w:color w:val="auto"/>
          <w:sz w:val="28"/>
          <w:szCs w:val="28"/>
          <w:highlight w:val="none"/>
        </w:rPr>
        <w:t>具有独立承担民事责任的能力的证明材料</w:t>
      </w:r>
    </w:p>
    <w:p w14:paraId="7FDE3EF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both"/>
        <w:textAlignment w:val="auto"/>
        <w:rPr>
          <w:color w:val="auto"/>
          <w:sz w:val="24"/>
          <w:szCs w:val="24"/>
          <w:highlight w:val="none"/>
        </w:rPr>
      </w:pPr>
    </w:p>
    <w:p w14:paraId="1BE0386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leftChars="0" w:right="0" w:firstLine="0" w:firstLineChars="0"/>
        <w:jc w:val="center"/>
        <w:textAlignment w:val="auto"/>
        <w:rPr>
          <w:color w:val="auto"/>
          <w:sz w:val="24"/>
          <w:szCs w:val="24"/>
          <w:highlight w:val="none"/>
        </w:rPr>
      </w:pPr>
      <w:r>
        <w:rPr>
          <w:color w:val="auto"/>
          <w:sz w:val="24"/>
          <w:szCs w:val="24"/>
          <w:highlight w:val="none"/>
        </w:rPr>
        <w:t>供应商为法人或者其他组织的，提供营业执照等证明文件。</w:t>
      </w:r>
    </w:p>
    <w:p w14:paraId="053E7138">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center"/>
        <w:textAlignment w:val="auto"/>
        <w:rPr>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41EDA28E">
      <w:pPr>
        <w:pStyle w:val="4"/>
        <w:spacing w:before="64"/>
        <w:ind w:left="295" w:right="362"/>
        <w:jc w:val="center"/>
        <w:rPr>
          <w:color w:val="auto"/>
          <w:sz w:val="28"/>
          <w:szCs w:val="28"/>
          <w:highlight w:val="none"/>
        </w:rPr>
      </w:pPr>
      <w:bookmarkStart w:id="311" w:name="_Toc8759"/>
      <w:bookmarkStart w:id="312" w:name="_Toc13358"/>
      <w:bookmarkStart w:id="313" w:name="_Toc2800"/>
      <w:bookmarkStart w:id="314" w:name="_Toc25098"/>
      <w:bookmarkStart w:id="315" w:name="_Toc1902"/>
      <w:r>
        <w:rPr>
          <w:color w:val="auto"/>
          <w:sz w:val="28"/>
          <w:szCs w:val="28"/>
          <w:highlight w:val="none"/>
        </w:rPr>
        <w:t>八、具有良好的商业信誉和健全的财务会计制度的相关材料</w:t>
      </w:r>
      <w:bookmarkEnd w:id="311"/>
      <w:bookmarkEnd w:id="312"/>
      <w:bookmarkEnd w:id="313"/>
      <w:bookmarkEnd w:id="314"/>
      <w:bookmarkEnd w:id="315"/>
    </w:p>
    <w:p w14:paraId="138A497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rFonts w:hint="eastAsia"/>
          <w:color w:val="auto"/>
          <w:sz w:val="22"/>
          <w:szCs w:val="22"/>
          <w:highlight w:val="none"/>
        </w:rPr>
      </w:pPr>
    </w:p>
    <w:p w14:paraId="30EF6EC0">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color w:val="auto"/>
          <w:sz w:val="22"/>
          <w:szCs w:val="22"/>
          <w:highlight w:val="none"/>
        </w:rPr>
      </w:pPr>
      <w:r>
        <w:rPr>
          <w:rFonts w:hint="eastAsia"/>
          <w:color w:val="auto"/>
          <w:sz w:val="22"/>
          <w:szCs w:val="22"/>
          <w:highlight w:val="none"/>
        </w:rPr>
        <w:t>2024年度财务审计报告</w:t>
      </w:r>
      <w:r>
        <w:rPr>
          <w:color w:val="auto"/>
          <w:sz w:val="22"/>
          <w:szCs w:val="22"/>
          <w:highlight w:val="none"/>
        </w:rPr>
        <w:t>。</w:t>
      </w:r>
    </w:p>
    <w:p w14:paraId="50CD816E">
      <w:pPr>
        <w:spacing w:after="0"/>
        <w:jc w:val="center"/>
        <w:rPr>
          <w:color w:val="auto"/>
          <w:highlight w:val="none"/>
        </w:rPr>
        <w:sectPr>
          <w:pgSz w:w="11900" w:h="16840"/>
          <w:pgMar w:top="1599" w:right="1259" w:bottom="1599" w:left="1259" w:header="720" w:footer="91" w:gutter="0"/>
          <w:pgNumType w:fmt="decimal"/>
          <w:cols w:space="0" w:num="1"/>
          <w:rtlGutter w:val="0"/>
          <w:docGrid w:linePitch="0" w:charSpace="0"/>
        </w:sectPr>
      </w:pPr>
    </w:p>
    <w:p w14:paraId="71C65175">
      <w:pPr>
        <w:pStyle w:val="4"/>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562" w:firstLineChars="200"/>
        <w:jc w:val="center"/>
        <w:textAlignment w:val="auto"/>
        <w:rPr>
          <w:color w:val="auto"/>
          <w:sz w:val="28"/>
          <w:szCs w:val="28"/>
          <w:highlight w:val="none"/>
        </w:rPr>
      </w:pPr>
      <w:bookmarkStart w:id="316" w:name="_Toc15091"/>
      <w:bookmarkStart w:id="317" w:name="_Toc29934"/>
      <w:bookmarkStart w:id="318" w:name="_Toc20474"/>
      <w:bookmarkStart w:id="319" w:name="_Toc12997"/>
      <w:bookmarkStart w:id="320" w:name="_Toc31753"/>
      <w:r>
        <w:rPr>
          <w:color w:val="auto"/>
          <w:sz w:val="28"/>
          <w:szCs w:val="28"/>
          <w:highlight w:val="none"/>
        </w:rPr>
        <w:t>九、依法缴纳税收和社会保障资金的良好记录的相关材料</w:t>
      </w:r>
      <w:bookmarkEnd w:id="316"/>
      <w:bookmarkEnd w:id="317"/>
      <w:bookmarkEnd w:id="318"/>
      <w:bookmarkEnd w:id="319"/>
      <w:bookmarkEnd w:id="320"/>
    </w:p>
    <w:p w14:paraId="008A12AE">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center"/>
        <w:textAlignment w:val="auto"/>
        <w:rPr>
          <w:color w:val="auto"/>
          <w:sz w:val="24"/>
          <w:szCs w:val="24"/>
          <w:highlight w:val="none"/>
        </w:rPr>
      </w:pPr>
      <w:r>
        <w:rPr>
          <w:rFonts w:hint="eastAsia"/>
          <w:color w:val="auto"/>
          <w:sz w:val="24"/>
          <w:szCs w:val="24"/>
          <w:highlight w:val="none"/>
        </w:rPr>
        <w:t>提供依法缴纳税收和社会保障资金的相关材料</w:t>
      </w:r>
      <w:r>
        <w:rPr>
          <w:color w:val="auto"/>
          <w:sz w:val="24"/>
          <w:szCs w:val="24"/>
          <w:highlight w:val="none"/>
        </w:rPr>
        <w:t>。</w:t>
      </w:r>
    </w:p>
    <w:p w14:paraId="4D0DBB4C">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40" w:firstLineChars="200"/>
        <w:jc w:val="center"/>
        <w:textAlignment w:val="auto"/>
        <w:rPr>
          <w:color w:val="auto"/>
          <w:highlight w:val="none"/>
        </w:rPr>
        <w:sectPr>
          <w:pgSz w:w="11900" w:h="16840"/>
          <w:pgMar w:top="1599" w:right="1259" w:bottom="1599" w:left="1259" w:header="720" w:footer="91" w:gutter="0"/>
          <w:pgNumType w:fmt="decimal"/>
          <w:cols w:space="0" w:num="1"/>
          <w:rtlGutter w:val="0"/>
          <w:docGrid w:linePitch="0" w:charSpace="0"/>
        </w:sectPr>
      </w:pPr>
    </w:p>
    <w:p w14:paraId="55123767">
      <w:pPr>
        <w:pStyle w:val="4"/>
        <w:numPr>
          <w:ilvl w:val="0"/>
          <w:numId w:val="21"/>
        </w:numPr>
        <w:spacing w:before="64"/>
        <w:ind w:left="295" w:right="362"/>
        <w:jc w:val="center"/>
        <w:rPr>
          <w:color w:val="auto"/>
          <w:sz w:val="28"/>
          <w:szCs w:val="28"/>
          <w:highlight w:val="none"/>
        </w:rPr>
      </w:pPr>
      <w:bookmarkStart w:id="321" w:name="_Toc12036"/>
      <w:bookmarkStart w:id="322" w:name="_Toc32358"/>
      <w:bookmarkStart w:id="323" w:name="_Toc16602"/>
      <w:bookmarkStart w:id="324" w:name="_Toc27203"/>
      <w:bookmarkStart w:id="325" w:name="_Toc28353"/>
      <w:r>
        <w:rPr>
          <w:color w:val="auto"/>
          <w:sz w:val="28"/>
          <w:szCs w:val="28"/>
          <w:highlight w:val="none"/>
        </w:rPr>
        <w:t>具有履行合同所必需的设备和专业技术能力的证明材料</w:t>
      </w:r>
      <w:bookmarkEnd w:id="321"/>
      <w:bookmarkEnd w:id="322"/>
      <w:bookmarkEnd w:id="323"/>
      <w:bookmarkEnd w:id="324"/>
      <w:bookmarkEnd w:id="325"/>
    </w:p>
    <w:p w14:paraId="78A8EEF2">
      <w:pPr>
        <w:pStyle w:val="4"/>
        <w:numPr>
          <w:ilvl w:val="0"/>
          <w:numId w:val="0"/>
        </w:numPr>
        <w:spacing w:before="64"/>
        <w:ind w:right="362" w:rightChars="0"/>
        <w:jc w:val="both"/>
        <w:rPr>
          <w:color w:val="auto"/>
          <w:sz w:val="28"/>
          <w:szCs w:val="28"/>
          <w:highlight w:val="none"/>
        </w:rPr>
      </w:pPr>
    </w:p>
    <w:p w14:paraId="607453D4">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jc w:val="center"/>
        <w:textAlignment w:val="auto"/>
        <w:rPr>
          <w:color w:val="auto"/>
          <w:sz w:val="24"/>
          <w:szCs w:val="24"/>
          <w:highlight w:val="none"/>
        </w:rPr>
      </w:pPr>
      <w:r>
        <w:rPr>
          <w:color w:val="auto"/>
          <w:sz w:val="24"/>
          <w:szCs w:val="24"/>
          <w:highlight w:val="none"/>
        </w:rPr>
        <w:t>供应商提供具有履行合同所必需的设备和专业技术能力的</w:t>
      </w:r>
      <w:r>
        <w:rPr>
          <w:rFonts w:hint="eastAsia"/>
          <w:sz w:val="24"/>
          <w:szCs w:val="24"/>
          <w:lang w:val="en-US" w:eastAsia="zh-CN"/>
        </w:rPr>
        <w:t>声明函</w:t>
      </w:r>
      <w:r>
        <w:rPr>
          <w:color w:val="auto"/>
          <w:sz w:val="24"/>
          <w:szCs w:val="24"/>
          <w:highlight w:val="none"/>
        </w:rPr>
        <w:t>。</w:t>
      </w:r>
    </w:p>
    <w:p w14:paraId="1A674B0A">
      <w:pPr>
        <w:spacing w:after="0"/>
        <w:jc w:val="center"/>
        <w:rPr>
          <w:color w:val="auto"/>
          <w:highlight w:val="none"/>
        </w:rPr>
      </w:pPr>
    </w:p>
    <w:p w14:paraId="57BB2B6C">
      <w:pPr>
        <w:spacing w:after="0"/>
        <w:jc w:val="center"/>
        <w:rPr>
          <w:rFonts w:ascii="宋体" w:hAnsi="宋体" w:eastAsia="宋体" w:cs="宋体"/>
          <w:color w:val="auto"/>
          <w:sz w:val="24"/>
          <w:szCs w:val="24"/>
          <w:highlight w:val="none"/>
          <w:lang w:val="en-US" w:eastAsia="zh-CN" w:bidi="ar-SA"/>
        </w:rPr>
      </w:pPr>
    </w:p>
    <w:p w14:paraId="5EB8D675">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000" w:firstLineChars="25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 xml:space="preserve">供应商名称（盖章）： </w:t>
      </w:r>
    </w:p>
    <w:p w14:paraId="298E90D8">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000" w:firstLineChars="2500"/>
        <w:textAlignment w:val="auto"/>
        <w:rPr>
          <w:rFonts w:hint="eastAsia" w:ascii="宋体" w:hAnsi="宋体" w:eastAsia="宋体" w:cs="宋体"/>
          <w:color w:val="auto"/>
          <w:sz w:val="24"/>
          <w:szCs w:val="24"/>
          <w:highlight w:val="none"/>
          <w:lang w:val="en-US" w:eastAsia="zh-CN" w:bidi="ar-SA"/>
        </w:rPr>
      </w:pPr>
      <w:r>
        <w:rPr>
          <w:rFonts w:hint="eastAsia" w:ascii="宋体" w:hAnsi="宋体" w:eastAsia="宋体" w:cs="宋体"/>
          <w:sz w:val="24"/>
          <w:szCs w:val="24"/>
        </w:rPr>
        <w:t>法定代表人：</w:t>
      </w:r>
      <w:r>
        <w:rPr>
          <w:rFonts w:hint="eastAsia" w:cs="宋体"/>
          <w:sz w:val="24"/>
          <w:szCs w:val="24"/>
          <w:u w:val="single"/>
          <w:lang w:val="en-US" w:eastAsia="zh-CN"/>
        </w:rPr>
        <w:t xml:space="preserve">        </w:t>
      </w:r>
    </w:p>
    <w:p w14:paraId="109F7271">
      <w:pPr>
        <w:pStyle w:val="9"/>
        <w:keepNext w:val="0"/>
        <w:keepLines w:val="0"/>
        <w:pageBreakBefore w:val="0"/>
        <w:widowControl w:val="0"/>
        <w:tabs>
          <w:tab w:val="left" w:pos="9444"/>
          <w:tab w:val="left" w:pos="9876"/>
        </w:tabs>
        <w:kinsoku/>
        <w:wordWrap/>
        <w:overflowPunct/>
        <w:topLinePunct w:val="0"/>
        <w:autoSpaceDE w:val="0"/>
        <w:autoSpaceDN w:val="0"/>
        <w:bidi w:val="0"/>
        <w:adjustRightInd/>
        <w:snapToGrid/>
        <w:spacing w:before="0" w:line="360" w:lineRule="auto"/>
        <w:ind w:left="0" w:right="0" w:firstLine="6240" w:firstLineChars="2600"/>
        <w:textAlignment w:val="auto"/>
        <w:rPr>
          <w:rFonts w:ascii="宋体" w:hAnsi="宋体" w:eastAsia="宋体" w:cs="宋体"/>
          <w:color w:val="auto"/>
          <w:sz w:val="24"/>
          <w:szCs w:val="24"/>
          <w:highlight w:val="none"/>
          <w:lang w:val="en-US" w:eastAsia="zh-CN" w:bidi="ar-SA"/>
        </w:rPr>
      </w:pPr>
      <w:r>
        <w:rPr>
          <w:rFonts w:hint="eastAsia" w:ascii="宋体" w:hAnsi="宋体" w:eastAsia="宋体" w:cs="宋体"/>
          <w:color w:val="auto"/>
          <w:sz w:val="24"/>
          <w:szCs w:val="24"/>
          <w:highlight w:val="none"/>
          <w:lang w:val="en-US" w:eastAsia="zh-CN" w:bidi="ar-SA"/>
        </w:rPr>
        <w:t>年  月   日</w:t>
      </w:r>
    </w:p>
    <w:p w14:paraId="6572F02D">
      <w:pPr>
        <w:spacing w:after="0"/>
        <w:jc w:val="center"/>
        <w:rPr>
          <w:color w:val="auto"/>
          <w:highlight w:val="none"/>
        </w:rPr>
        <w:sectPr>
          <w:pgSz w:w="11900" w:h="16840"/>
          <w:pgMar w:top="1599" w:right="1259" w:bottom="1599" w:left="1259" w:header="720" w:footer="91" w:gutter="0"/>
          <w:pgNumType w:fmt="decimal"/>
          <w:cols w:space="0" w:num="1"/>
          <w:rtlGutter w:val="0"/>
          <w:docGrid w:linePitch="0" w:charSpace="0"/>
        </w:sectPr>
      </w:pPr>
    </w:p>
    <w:p w14:paraId="2B7B2D11">
      <w:pPr>
        <w:pStyle w:val="4"/>
        <w:numPr>
          <w:ilvl w:val="0"/>
          <w:numId w:val="0"/>
        </w:numPr>
        <w:spacing w:before="64"/>
        <w:ind w:right="0" w:rightChars="0"/>
        <w:jc w:val="center"/>
        <w:rPr>
          <w:color w:val="auto"/>
          <w:sz w:val="28"/>
          <w:szCs w:val="28"/>
          <w:highlight w:val="none"/>
        </w:rPr>
      </w:pPr>
      <w:bookmarkStart w:id="326" w:name="_Toc14537"/>
      <w:bookmarkStart w:id="327" w:name="_Toc30804"/>
      <w:bookmarkStart w:id="328" w:name="_Toc20670"/>
      <w:bookmarkStart w:id="329" w:name="_Toc27048"/>
      <w:bookmarkStart w:id="330" w:name="_Toc765"/>
      <w:r>
        <w:rPr>
          <w:rFonts w:hint="eastAsia"/>
          <w:color w:val="auto"/>
          <w:sz w:val="28"/>
          <w:szCs w:val="28"/>
          <w:highlight w:val="none"/>
          <w:lang w:val="en-US" w:eastAsia="zh-CN"/>
        </w:rPr>
        <w:t>十一、</w:t>
      </w:r>
      <w:r>
        <w:rPr>
          <w:color w:val="auto"/>
          <w:sz w:val="28"/>
          <w:szCs w:val="28"/>
          <w:highlight w:val="none"/>
        </w:rPr>
        <w:t>参加政府采购活动前三年内在经营活动中没有重大违法</w:t>
      </w:r>
      <w:bookmarkEnd w:id="326"/>
      <w:bookmarkEnd w:id="327"/>
      <w:bookmarkEnd w:id="328"/>
      <w:bookmarkEnd w:id="329"/>
    </w:p>
    <w:p w14:paraId="537B597B">
      <w:pPr>
        <w:pStyle w:val="4"/>
        <w:numPr>
          <w:ilvl w:val="0"/>
          <w:numId w:val="0"/>
        </w:numPr>
        <w:spacing w:before="64"/>
        <w:ind w:right="0" w:rightChars="0"/>
        <w:jc w:val="center"/>
        <w:rPr>
          <w:color w:val="auto"/>
          <w:sz w:val="28"/>
          <w:szCs w:val="28"/>
          <w:highlight w:val="none"/>
        </w:rPr>
      </w:pPr>
      <w:bookmarkStart w:id="331" w:name="_Toc17064"/>
      <w:bookmarkStart w:id="332" w:name="_Toc3149"/>
      <w:bookmarkStart w:id="333" w:name="_Toc16760"/>
      <w:bookmarkStart w:id="334" w:name="_Toc641"/>
      <w:r>
        <w:rPr>
          <w:color w:val="auto"/>
          <w:sz w:val="28"/>
          <w:szCs w:val="28"/>
          <w:highlight w:val="none"/>
        </w:rPr>
        <w:t>记录的书面声明</w:t>
      </w:r>
      <w:bookmarkEnd w:id="330"/>
      <w:bookmarkEnd w:id="331"/>
      <w:bookmarkEnd w:id="332"/>
      <w:bookmarkEnd w:id="333"/>
      <w:bookmarkEnd w:id="334"/>
    </w:p>
    <w:p w14:paraId="39D583DC">
      <w:pPr>
        <w:pStyle w:val="4"/>
        <w:numPr>
          <w:ilvl w:val="0"/>
          <w:numId w:val="0"/>
        </w:numPr>
        <w:spacing w:before="64"/>
        <w:ind w:right="0" w:rightChars="0"/>
        <w:jc w:val="center"/>
        <w:rPr>
          <w:color w:val="auto"/>
          <w:sz w:val="28"/>
          <w:szCs w:val="28"/>
          <w:highlight w:val="none"/>
        </w:rPr>
      </w:pPr>
    </w:p>
    <w:p w14:paraId="54532CF0">
      <w:pPr>
        <w:pStyle w:val="9"/>
        <w:keepNext w:val="0"/>
        <w:keepLines w:val="0"/>
        <w:pageBreakBefore w:val="0"/>
        <w:widowControl w:val="0"/>
        <w:tabs>
          <w:tab w:val="left" w:pos="5291"/>
          <w:tab w:val="left" w:pos="8556"/>
        </w:tabs>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本公司（单位）自愿参加本次政府采购活动，</w:t>
      </w:r>
      <w:r>
        <w:rPr>
          <w:rFonts w:ascii="Times New Roman" w:eastAsia="Times New Roman"/>
          <w:color w:val="auto"/>
          <w:sz w:val="24"/>
          <w:szCs w:val="24"/>
          <w:highlight w:val="none"/>
          <w:u w:val="single"/>
        </w:rPr>
        <w:tab/>
      </w:r>
      <w:r>
        <w:rPr>
          <w:rFonts w:hint="eastAsia" w:ascii="Times New Roman" w:eastAsia="宋体"/>
          <w:color w:val="auto"/>
          <w:sz w:val="24"/>
          <w:szCs w:val="24"/>
          <w:highlight w:val="none"/>
          <w:u w:val="single"/>
          <w:lang w:val="en-US" w:eastAsia="zh-CN"/>
        </w:rPr>
        <w:t xml:space="preserve">  </w:t>
      </w:r>
      <w:r>
        <w:rPr>
          <w:color w:val="auto"/>
          <w:sz w:val="24"/>
          <w:szCs w:val="24"/>
          <w:highlight w:val="none"/>
        </w:rPr>
        <w:t>（项目名称），项目编号：</w:t>
      </w:r>
      <w:r>
        <w:rPr>
          <w:rFonts w:ascii="Times New Roman" w:eastAsia="Times New Roman"/>
          <w:color w:val="auto"/>
          <w:sz w:val="24"/>
          <w:szCs w:val="24"/>
          <w:highlight w:val="none"/>
          <w:u w:val="single"/>
        </w:rPr>
        <w:tab/>
      </w:r>
      <w:r>
        <w:rPr>
          <w:color w:val="auto"/>
          <w:sz w:val="24"/>
          <w:szCs w:val="24"/>
          <w:highlight w:val="none"/>
        </w:rPr>
        <w:t>，严格遵守《中华人民共和国政府采购法》《中华人民共和国政府采购法实施条例》及相关法律、法规和规章制度，在参加此次政府采购活动前</w:t>
      </w:r>
      <w:r>
        <w:rPr>
          <w:rFonts w:hint="eastAsia" w:ascii="Meiryo" w:eastAsia="Meiryo"/>
          <w:color w:val="auto"/>
          <w:sz w:val="24"/>
          <w:szCs w:val="24"/>
          <w:highlight w:val="none"/>
        </w:rPr>
        <w:t>3</w:t>
      </w:r>
      <w:r>
        <w:rPr>
          <w:color w:val="auto"/>
          <w:sz w:val="24"/>
          <w:szCs w:val="24"/>
          <w:highlight w:val="none"/>
        </w:rPr>
        <w:t>年内，本公司在经营活动中无重大违法记录。</w:t>
      </w:r>
    </w:p>
    <w:p w14:paraId="3C92A74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color w:val="auto"/>
          <w:sz w:val="24"/>
          <w:szCs w:val="24"/>
          <w:highlight w:val="none"/>
        </w:rPr>
      </w:pPr>
      <w:r>
        <w:rPr>
          <w:color w:val="auto"/>
          <w:sz w:val="24"/>
          <w:szCs w:val="24"/>
          <w:highlight w:val="none"/>
        </w:rPr>
        <w:t>特此声明</w:t>
      </w:r>
    </w:p>
    <w:p w14:paraId="2AE0BAF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center"/>
        <w:textAlignment w:val="auto"/>
        <w:rPr>
          <w:color w:val="auto"/>
          <w:sz w:val="24"/>
          <w:szCs w:val="24"/>
          <w:highlight w:val="none"/>
        </w:rPr>
      </w:pPr>
      <w:r>
        <w:rPr>
          <w:rFonts w:hint="eastAsia"/>
          <w:color w:val="auto"/>
          <w:sz w:val="24"/>
          <w:szCs w:val="24"/>
          <w:highlight w:val="none"/>
          <w:lang w:val="en-US" w:eastAsia="zh-CN"/>
        </w:rPr>
        <w:t xml:space="preserve">                                       </w:t>
      </w:r>
      <w:r>
        <w:rPr>
          <w:color w:val="auto"/>
          <w:sz w:val="24"/>
          <w:szCs w:val="24"/>
          <w:highlight w:val="none"/>
        </w:rPr>
        <w:t>供应商名称（盖章）：</w:t>
      </w:r>
    </w:p>
    <w:p w14:paraId="2ADD2D17">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jc w:val="center"/>
        <w:textAlignment w:val="auto"/>
        <w:rPr>
          <w:color w:val="auto"/>
          <w:sz w:val="24"/>
          <w:szCs w:val="24"/>
          <w:highlight w:val="none"/>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法定代表人：</w:t>
      </w:r>
      <w:r>
        <w:rPr>
          <w:rFonts w:hint="eastAsia" w:cs="宋体"/>
          <w:sz w:val="24"/>
          <w:szCs w:val="24"/>
          <w:u w:val="single"/>
          <w:lang w:val="en-US" w:eastAsia="zh-CN"/>
        </w:rPr>
        <w:t xml:space="preserve">      </w:t>
      </w:r>
    </w:p>
    <w:p w14:paraId="2C3DB4C0">
      <w:pPr>
        <w:pStyle w:val="9"/>
        <w:keepNext w:val="0"/>
        <w:keepLines w:val="0"/>
        <w:pageBreakBefore w:val="0"/>
        <w:widowControl w:val="0"/>
        <w:tabs>
          <w:tab w:val="left" w:pos="9444"/>
          <w:tab w:val="left" w:pos="9876"/>
        </w:tabs>
        <w:kinsoku/>
        <w:wordWrap/>
        <w:overflowPunct/>
        <w:topLinePunct w:val="0"/>
        <w:autoSpaceDE w:val="0"/>
        <w:autoSpaceDN w:val="0"/>
        <w:bidi w:val="0"/>
        <w:adjustRightInd/>
        <w:snapToGrid/>
        <w:spacing w:before="0" w:line="360" w:lineRule="auto"/>
        <w:ind w:left="0" w:right="0" w:firstLine="480" w:firstLineChars="200"/>
        <w:jc w:val="center"/>
        <w:textAlignment w:val="auto"/>
        <w:rPr>
          <w:color w:val="auto"/>
          <w:sz w:val="24"/>
          <w:szCs w:val="24"/>
          <w:highlight w:val="none"/>
        </w:rPr>
      </w:pPr>
      <w:r>
        <w:rPr>
          <w:rFonts w:hint="eastAsia"/>
          <w:color w:val="auto"/>
          <w:sz w:val="24"/>
          <w:szCs w:val="24"/>
          <w:highlight w:val="none"/>
          <w:lang w:val="en-US" w:eastAsia="zh-CN"/>
        </w:rPr>
        <w:t xml:space="preserve">                                   </w:t>
      </w:r>
      <w:r>
        <w:rPr>
          <w:color w:val="auto"/>
          <w:sz w:val="24"/>
          <w:szCs w:val="24"/>
          <w:highlight w:val="none"/>
        </w:rPr>
        <w:t>年</w:t>
      </w:r>
      <w:r>
        <w:rPr>
          <w:rFonts w:hint="eastAsia"/>
          <w:color w:val="auto"/>
          <w:sz w:val="24"/>
          <w:szCs w:val="24"/>
          <w:highlight w:val="none"/>
          <w:lang w:val="en-US" w:eastAsia="zh-CN"/>
        </w:rPr>
        <w:t xml:space="preserve">   </w:t>
      </w:r>
      <w:r>
        <w:rPr>
          <w:color w:val="auto"/>
          <w:sz w:val="24"/>
          <w:szCs w:val="24"/>
          <w:highlight w:val="none"/>
        </w:rPr>
        <w:t>月</w:t>
      </w:r>
      <w:r>
        <w:rPr>
          <w:rFonts w:hint="eastAsia"/>
          <w:color w:val="auto"/>
          <w:sz w:val="24"/>
          <w:szCs w:val="24"/>
          <w:highlight w:val="none"/>
          <w:lang w:val="en-US" w:eastAsia="zh-CN"/>
        </w:rPr>
        <w:t xml:space="preserve">   </w:t>
      </w:r>
      <w:r>
        <w:rPr>
          <w:color w:val="auto"/>
          <w:sz w:val="24"/>
          <w:szCs w:val="24"/>
          <w:highlight w:val="none"/>
        </w:rPr>
        <w:t>日</w:t>
      </w:r>
    </w:p>
    <w:p w14:paraId="55A9972A">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right"/>
        <w:textAlignment w:val="auto"/>
        <w:rPr>
          <w:color w:val="auto"/>
          <w:sz w:val="24"/>
          <w:szCs w:val="24"/>
          <w:highlight w:val="none"/>
        </w:rPr>
        <w:sectPr>
          <w:pgSz w:w="11900" w:h="16840"/>
          <w:pgMar w:top="1599" w:right="1259" w:bottom="1599" w:left="1259" w:header="720" w:footer="91" w:gutter="0"/>
          <w:pgNumType w:fmt="decimal"/>
          <w:cols w:space="0" w:num="1"/>
          <w:rtlGutter w:val="0"/>
          <w:docGrid w:linePitch="0" w:charSpace="0"/>
        </w:sectPr>
      </w:pPr>
    </w:p>
    <w:p w14:paraId="2B923659">
      <w:pPr>
        <w:pStyle w:val="9"/>
        <w:spacing w:before="5"/>
        <w:ind w:left="0"/>
        <w:rPr>
          <w:color w:val="auto"/>
          <w:sz w:val="24"/>
          <w:highlight w:val="none"/>
        </w:rPr>
      </w:pPr>
    </w:p>
    <w:p w14:paraId="5D8FEB27">
      <w:pPr>
        <w:pStyle w:val="4"/>
        <w:ind w:left="295" w:right="362"/>
        <w:jc w:val="center"/>
        <w:rPr>
          <w:color w:val="auto"/>
          <w:sz w:val="28"/>
          <w:szCs w:val="28"/>
          <w:highlight w:val="none"/>
        </w:rPr>
      </w:pPr>
      <w:bookmarkStart w:id="335" w:name="_Toc7476"/>
      <w:bookmarkStart w:id="336" w:name="_Toc17726"/>
      <w:bookmarkStart w:id="337" w:name="_Toc29840"/>
      <w:bookmarkStart w:id="338" w:name="_Toc4977"/>
      <w:bookmarkStart w:id="339" w:name="_Toc6556"/>
      <w:r>
        <w:rPr>
          <w:color w:val="auto"/>
          <w:sz w:val="28"/>
          <w:szCs w:val="28"/>
          <w:highlight w:val="none"/>
        </w:rPr>
        <w:t>十二、联合体协议书</w:t>
      </w:r>
      <w:bookmarkEnd w:id="335"/>
      <w:bookmarkEnd w:id="336"/>
      <w:bookmarkEnd w:id="337"/>
      <w:bookmarkEnd w:id="338"/>
      <w:bookmarkEnd w:id="339"/>
    </w:p>
    <w:p w14:paraId="529CC779">
      <w:pPr>
        <w:pStyle w:val="9"/>
        <w:keepNext w:val="0"/>
        <w:keepLines w:val="0"/>
        <w:pageBreakBefore w:val="0"/>
        <w:widowControl w:val="0"/>
        <w:tabs>
          <w:tab w:val="left" w:pos="2986"/>
          <w:tab w:val="left" w:pos="3562"/>
          <w:tab w:val="left" w:pos="10284"/>
        </w:tabs>
        <w:kinsoku/>
        <w:wordWrap/>
        <w:overflowPunct/>
        <w:topLinePunct w:val="0"/>
        <w:autoSpaceDE w:val="0"/>
        <w:autoSpaceDN w:val="0"/>
        <w:bidi w:val="0"/>
        <w:adjustRightInd/>
        <w:snapToGrid/>
        <w:spacing w:before="0" w:line="360" w:lineRule="auto"/>
        <w:ind w:left="0" w:right="0" w:firstLine="484" w:firstLineChars="200"/>
        <w:jc w:val="both"/>
        <w:textAlignment w:val="auto"/>
        <w:rPr>
          <w:rFonts w:ascii="Times New Roman" w:eastAsia="Times New Roman"/>
          <w:w w:val="101"/>
          <w:sz w:val="24"/>
          <w:szCs w:val="24"/>
          <w:highlight w:val="none"/>
          <w:u w:val="single"/>
        </w:rPr>
      </w:pPr>
    </w:p>
    <w:p w14:paraId="1408AC48">
      <w:pPr>
        <w:pStyle w:val="9"/>
        <w:keepNext w:val="0"/>
        <w:keepLines w:val="0"/>
        <w:pageBreakBefore w:val="0"/>
        <w:widowControl w:val="0"/>
        <w:tabs>
          <w:tab w:val="left" w:pos="2986"/>
          <w:tab w:val="left" w:pos="3562"/>
          <w:tab w:val="left" w:pos="10284"/>
        </w:tabs>
        <w:kinsoku/>
        <w:wordWrap/>
        <w:overflowPunct/>
        <w:topLinePunct w:val="0"/>
        <w:autoSpaceDE w:val="0"/>
        <w:autoSpaceDN w:val="0"/>
        <w:bidi w:val="0"/>
        <w:adjustRightInd/>
        <w:snapToGrid/>
        <w:spacing w:before="0" w:line="360" w:lineRule="auto"/>
        <w:ind w:left="0" w:right="0" w:firstLine="484" w:firstLineChars="200"/>
        <w:jc w:val="both"/>
        <w:textAlignment w:val="auto"/>
        <w:rPr>
          <w:sz w:val="24"/>
          <w:szCs w:val="24"/>
          <w:highlight w:val="none"/>
        </w:rPr>
      </w:pPr>
      <w:r>
        <w:rPr>
          <w:rFonts w:ascii="Times New Roman" w:eastAsia="Times New Roman"/>
          <w:w w:val="101"/>
          <w:sz w:val="24"/>
          <w:szCs w:val="24"/>
          <w:highlight w:val="none"/>
          <w:u w:val="single"/>
        </w:rPr>
        <w:t xml:space="preserve"> </w:t>
      </w:r>
      <w:r>
        <w:rPr>
          <w:rFonts w:ascii="Times New Roman" w:eastAsia="Times New Roman"/>
          <w:sz w:val="24"/>
          <w:szCs w:val="24"/>
          <w:highlight w:val="none"/>
          <w:u w:val="single"/>
        </w:rPr>
        <w:tab/>
      </w:r>
      <w:r>
        <w:rPr>
          <w:sz w:val="24"/>
          <w:szCs w:val="24"/>
          <w:highlight w:val="none"/>
        </w:rPr>
        <w:t>（所有成员单位名称）自愿组成一个联合体，以一个供应商的身份共同参加</w:t>
      </w:r>
      <w:r>
        <w:rPr>
          <w:rFonts w:ascii="Times New Roman" w:eastAsia="Times New Roman"/>
          <w:sz w:val="24"/>
          <w:szCs w:val="24"/>
          <w:highlight w:val="none"/>
          <w:u w:val="single"/>
        </w:rPr>
        <w:tab/>
      </w:r>
      <w:r>
        <w:rPr>
          <w:sz w:val="24"/>
          <w:szCs w:val="24"/>
          <w:highlight w:val="none"/>
        </w:rPr>
        <w:t>（</w:t>
      </w:r>
      <w:r>
        <w:rPr>
          <w:spacing w:val="-18"/>
          <w:sz w:val="24"/>
          <w:szCs w:val="24"/>
          <w:highlight w:val="none"/>
        </w:rPr>
        <w:t>项</w:t>
      </w:r>
      <w:r>
        <w:rPr>
          <w:sz w:val="24"/>
          <w:szCs w:val="24"/>
          <w:highlight w:val="none"/>
        </w:rPr>
        <w:t>目名称）的采购，项目编号：</w:t>
      </w:r>
      <w:r>
        <w:rPr>
          <w:rFonts w:hint="eastAsia"/>
          <w:sz w:val="24"/>
          <w:szCs w:val="24"/>
          <w:highlight w:val="none"/>
          <w:u w:val="single"/>
          <w:lang w:val="en-US" w:eastAsia="zh-CN"/>
        </w:rPr>
        <w:t xml:space="preserve">      </w:t>
      </w:r>
      <w:r>
        <w:rPr>
          <w:sz w:val="24"/>
          <w:szCs w:val="24"/>
          <w:highlight w:val="none"/>
        </w:rPr>
        <w:t>。联合体各方共同与采购人签订采购合同，就采购合同约定的事项对采购人承担连</w:t>
      </w:r>
      <w:r>
        <w:rPr>
          <w:spacing w:val="-17"/>
          <w:sz w:val="24"/>
          <w:szCs w:val="24"/>
          <w:highlight w:val="none"/>
        </w:rPr>
        <w:t>带</w:t>
      </w:r>
      <w:r>
        <w:rPr>
          <w:sz w:val="24"/>
          <w:szCs w:val="24"/>
          <w:highlight w:val="none"/>
        </w:rPr>
        <w:t>责任。现就联合体采购事宜订立如下协议。</w:t>
      </w:r>
    </w:p>
    <w:p w14:paraId="7F7B5E07">
      <w:pPr>
        <w:pStyle w:val="27"/>
        <w:keepNext w:val="0"/>
        <w:keepLines w:val="0"/>
        <w:pageBreakBefore w:val="0"/>
        <w:widowControl w:val="0"/>
        <w:numPr>
          <w:ilvl w:val="0"/>
          <w:numId w:val="0"/>
        </w:numPr>
        <w:tabs>
          <w:tab w:val="left" w:pos="673"/>
          <w:tab w:val="left" w:pos="1630"/>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ascii="Times New Roman" w:eastAsia="宋体"/>
          <w:w w:val="101"/>
          <w:sz w:val="24"/>
          <w:szCs w:val="24"/>
          <w:highlight w:val="none"/>
          <w:u w:val="none"/>
          <w:lang w:val="en-US" w:eastAsia="zh-CN"/>
        </w:rPr>
        <w:t>1.</w:t>
      </w:r>
      <w:r>
        <w:rPr>
          <w:rFonts w:ascii="Times New Roman" w:eastAsia="Times New Roman"/>
          <w:w w:val="101"/>
          <w:sz w:val="24"/>
          <w:szCs w:val="24"/>
          <w:highlight w:val="none"/>
          <w:u w:val="none"/>
        </w:rPr>
        <w:t xml:space="preserve"> </w:t>
      </w:r>
      <w:r>
        <w:rPr>
          <w:rFonts w:ascii="Times New Roman" w:eastAsia="Times New Roman"/>
          <w:sz w:val="24"/>
          <w:szCs w:val="24"/>
          <w:highlight w:val="none"/>
          <w:u w:val="single"/>
        </w:rPr>
        <w:tab/>
      </w:r>
      <w:r>
        <w:rPr>
          <w:sz w:val="24"/>
          <w:szCs w:val="24"/>
          <w:highlight w:val="none"/>
        </w:rPr>
        <w:t>（某成员单位名称）为联合体牵头人。</w:t>
      </w:r>
    </w:p>
    <w:p w14:paraId="2D56B5EE">
      <w:pPr>
        <w:pStyle w:val="27"/>
        <w:keepNext w:val="0"/>
        <w:keepLines w:val="0"/>
        <w:pageBreakBefore w:val="0"/>
        <w:widowControl w:val="0"/>
        <w:numPr>
          <w:ilvl w:val="0"/>
          <w:numId w:val="0"/>
        </w:numPr>
        <w:tabs>
          <w:tab w:val="left" w:pos="731"/>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pacing w:val="-1"/>
          <w:sz w:val="24"/>
          <w:szCs w:val="24"/>
          <w:highlight w:val="none"/>
          <w:lang w:val="en-US" w:eastAsia="zh-CN"/>
        </w:rPr>
        <w:t>2.</w:t>
      </w:r>
      <w:r>
        <w:rPr>
          <w:spacing w:val="-1"/>
          <w:sz w:val="24"/>
          <w:szCs w:val="24"/>
          <w:highlight w:val="none"/>
        </w:rPr>
        <w:t>联合体各成员单位授权牵头人代表联合体参加采购活动，提交和接收相关的资料，负责合同实施阶段的组织和协调工</w:t>
      </w:r>
      <w:r>
        <w:rPr>
          <w:sz w:val="24"/>
          <w:szCs w:val="24"/>
          <w:highlight w:val="none"/>
        </w:rPr>
        <w:t>作，以及处理与本项目有关的事宜。</w:t>
      </w:r>
    </w:p>
    <w:p w14:paraId="6E84D554">
      <w:pPr>
        <w:pStyle w:val="27"/>
        <w:keepNext w:val="0"/>
        <w:keepLines w:val="0"/>
        <w:pageBreakBefore w:val="0"/>
        <w:widowControl w:val="0"/>
        <w:numPr>
          <w:ilvl w:val="0"/>
          <w:numId w:val="0"/>
        </w:numPr>
        <w:tabs>
          <w:tab w:val="left" w:pos="731"/>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pacing w:val="-1"/>
          <w:sz w:val="24"/>
          <w:szCs w:val="24"/>
          <w:highlight w:val="none"/>
          <w:lang w:val="en-US" w:eastAsia="zh-CN"/>
        </w:rPr>
        <w:t>3.</w:t>
      </w:r>
      <w:r>
        <w:rPr>
          <w:spacing w:val="-1"/>
          <w:sz w:val="24"/>
          <w:szCs w:val="24"/>
          <w:highlight w:val="none"/>
        </w:rPr>
        <w:t>联合体牵头人在本项目中签署的文件和处理的事宜，联合体各成员单位均予以承认。 联合体各成员单位将严格按照询</w:t>
      </w:r>
      <w:r>
        <w:rPr>
          <w:sz w:val="24"/>
          <w:szCs w:val="24"/>
          <w:highlight w:val="none"/>
        </w:rPr>
        <w:t>价通知书、</w:t>
      </w:r>
      <w:r>
        <w:rPr>
          <w:rFonts w:hint="eastAsia"/>
          <w:sz w:val="24"/>
          <w:szCs w:val="24"/>
          <w:highlight w:val="none"/>
          <w:lang w:eastAsia="zh-CN"/>
        </w:rPr>
        <w:t>报价</w:t>
      </w:r>
      <w:r>
        <w:rPr>
          <w:sz w:val="24"/>
          <w:szCs w:val="24"/>
          <w:highlight w:val="none"/>
        </w:rPr>
        <w:t>文件和合同的要求全面履行义务，并向采购人承担连带责任。</w:t>
      </w:r>
    </w:p>
    <w:p w14:paraId="02C4BAFC">
      <w:pPr>
        <w:pStyle w:val="27"/>
        <w:keepNext w:val="0"/>
        <w:keepLines w:val="0"/>
        <w:pageBreakBefore w:val="0"/>
        <w:widowControl w:val="0"/>
        <w:numPr>
          <w:ilvl w:val="0"/>
          <w:numId w:val="0"/>
        </w:numPr>
        <w:tabs>
          <w:tab w:val="left" w:pos="731"/>
          <w:tab w:val="left" w:pos="5723"/>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z w:val="24"/>
          <w:szCs w:val="24"/>
          <w:highlight w:val="none"/>
          <w:lang w:val="en-US" w:eastAsia="zh-CN"/>
        </w:rPr>
        <w:t>4.</w:t>
      </w:r>
      <w:r>
        <w:rPr>
          <w:sz w:val="24"/>
          <w:szCs w:val="24"/>
          <w:highlight w:val="none"/>
        </w:rPr>
        <w:t>联合体各成员单位内部的职责分工如下：</w:t>
      </w:r>
      <w:r>
        <w:rPr>
          <w:rFonts w:ascii="Times New Roman" w:eastAsia="Times New Roman"/>
          <w:sz w:val="24"/>
          <w:szCs w:val="24"/>
          <w:highlight w:val="none"/>
          <w:u w:val="single"/>
        </w:rPr>
        <w:tab/>
      </w:r>
      <w:r>
        <w:rPr>
          <w:sz w:val="24"/>
          <w:szCs w:val="24"/>
          <w:highlight w:val="none"/>
        </w:rPr>
        <w:t>。</w:t>
      </w:r>
    </w:p>
    <w:p w14:paraId="4A722C43">
      <w:pPr>
        <w:pStyle w:val="27"/>
        <w:keepNext w:val="0"/>
        <w:keepLines w:val="0"/>
        <w:pageBreakBefore w:val="0"/>
        <w:widowControl w:val="0"/>
        <w:numPr>
          <w:ilvl w:val="0"/>
          <w:numId w:val="0"/>
        </w:numPr>
        <w:tabs>
          <w:tab w:val="left" w:pos="731"/>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z w:val="24"/>
          <w:szCs w:val="24"/>
          <w:highlight w:val="none"/>
          <w:lang w:val="en-US" w:eastAsia="zh-CN"/>
        </w:rPr>
        <w:t>5.</w:t>
      </w:r>
      <w:r>
        <w:rPr>
          <w:sz w:val="24"/>
          <w:szCs w:val="24"/>
          <w:highlight w:val="none"/>
        </w:rPr>
        <w:t>如要求缴纳保证金，以牵头人名义缴纳，对联合体各方均具有约束力。</w:t>
      </w:r>
    </w:p>
    <w:p w14:paraId="21712254">
      <w:pPr>
        <w:pStyle w:val="27"/>
        <w:keepNext w:val="0"/>
        <w:keepLines w:val="0"/>
        <w:pageBreakBefore w:val="0"/>
        <w:widowControl w:val="0"/>
        <w:numPr>
          <w:ilvl w:val="0"/>
          <w:numId w:val="0"/>
        </w:numPr>
        <w:tabs>
          <w:tab w:val="left" w:pos="673"/>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z w:val="24"/>
          <w:szCs w:val="24"/>
          <w:highlight w:val="none"/>
          <w:lang w:val="en-US" w:eastAsia="zh-CN"/>
        </w:rPr>
        <w:t>6.</w:t>
      </w:r>
      <w:r>
        <w:rPr>
          <w:sz w:val="24"/>
          <w:szCs w:val="24"/>
          <w:highlight w:val="none"/>
        </w:rPr>
        <w:t>本协议书自签署之日起生效，合同履行完毕后自动失效。</w:t>
      </w:r>
    </w:p>
    <w:p w14:paraId="1F8C0C5F">
      <w:pPr>
        <w:pStyle w:val="27"/>
        <w:keepNext w:val="0"/>
        <w:keepLines w:val="0"/>
        <w:pageBreakBefore w:val="0"/>
        <w:widowControl w:val="0"/>
        <w:numPr>
          <w:ilvl w:val="0"/>
          <w:numId w:val="0"/>
        </w:numPr>
        <w:tabs>
          <w:tab w:val="left" w:pos="673"/>
          <w:tab w:val="left" w:pos="2302"/>
        </w:tabs>
        <w:kinsoku/>
        <w:wordWrap/>
        <w:overflowPunct/>
        <w:topLinePunct w:val="0"/>
        <w:autoSpaceDE w:val="0"/>
        <w:autoSpaceDN w:val="0"/>
        <w:bidi w:val="0"/>
        <w:adjustRightInd/>
        <w:snapToGrid/>
        <w:spacing w:before="0" w:after="0" w:line="360" w:lineRule="auto"/>
        <w:ind w:leftChars="200" w:right="0" w:rightChars="0"/>
        <w:jc w:val="left"/>
        <w:textAlignment w:val="auto"/>
        <w:rPr>
          <w:sz w:val="24"/>
          <w:szCs w:val="24"/>
          <w:highlight w:val="none"/>
        </w:rPr>
      </w:pPr>
      <w:r>
        <w:rPr>
          <w:rFonts w:hint="eastAsia"/>
          <w:sz w:val="24"/>
          <w:szCs w:val="24"/>
          <w:highlight w:val="none"/>
          <w:lang w:val="en-US" w:eastAsia="zh-CN"/>
        </w:rPr>
        <w:t>7.</w:t>
      </w:r>
      <w:r>
        <w:rPr>
          <w:sz w:val="24"/>
          <w:szCs w:val="24"/>
          <w:highlight w:val="none"/>
        </w:rPr>
        <w:t>本协议书一式</w:t>
      </w:r>
      <w:r>
        <w:rPr>
          <w:rFonts w:ascii="Times New Roman" w:eastAsia="Times New Roman"/>
          <w:sz w:val="24"/>
          <w:szCs w:val="24"/>
          <w:highlight w:val="none"/>
          <w:u w:val="single"/>
        </w:rPr>
        <w:tab/>
      </w:r>
      <w:r>
        <w:rPr>
          <w:rFonts w:hint="eastAsia" w:ascii="Times New Roman" w:eastAsia="宋体"/>
          <w:sz w:val="24"/>
          <w:szCs w:val="24"/>
          <w:highlight w:val="none"/>
          <w:u w:val="single"/>
          <w:lang w:val="en-US" w:eastAsia="zh-CN"/>
        </w:rPr>
        <w:t xml:space="preserve">   </w:t>
      </w:r>
      <w:r>
        <w:rPr>
          <w:sz w:val="24"/>
          <w:szCs w:val="24"/>
          <w:highlight w:val="none"/>
        </w:rPr>
        <w:t>份，联合体各成员单位和采购人各执一份。</w:t>
      </w:r>
    </w:p>
    <w:p w14:paraId="7771F649">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sz w:val="24"/>
          <w:szCs w:val="24"/>
          <w:highlight w:val="none"/>
        </w:rPr>
      </w:pPr>
      <w:r>
        <w:rPr>
          <w:sz w:val="24"/>
          <w:szCs w:val="24"/>
          <w:highlight w:val="none"/>
        </w:rPr>
        <w:t>协议书由法定代表人签字的，应附法定代表人身份证明；由授权代表签字的，应附授权委托书。</w:t>
      </w:r>
    </w:p>
    <w:p w14:paraId="30052809">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sz w:val="24"/>
          <w:szCs w:val="24"/>
          <w:highlight w:val="none"/>
        </w:rPr>
      </w:pPr>
      <w:r>
        <w:rPr>
          <w:sz w:val="24"/>
          <w:szCs w:val="24"/>
          <w:highlight w:val="none"/>
        </w:rPr>
        <w:t>所有成员单位法定代表人或其授权代表（签字并盖章）：</w:t>
      </w:r>
    </w:p>
    <w:p w14:paraId="68C2282F">
      <w:pPr>
        <w:pStyle w:val="9"/>
        <w:keepNext w:val="0"/>
        <w:keepLines w:val="0"/>
        <w:pageBreakBefore w:val="0"/>
        <w:widowControl w:val="0"/>
        <w:tabs>
          <w:tab w:val="left" w:pos="432"/>
          <w:tab w:val="left" w:pos="864"/>
        </w:tabs>
        <w:kinsoku/>
        <w:wordWrap/>
        <w:overflowPunct/>
        <w:topLinePunct w:val="0"/>
        <w:autoSpaceDE w:val="0"/>
        <w:autoSpaceDN w:val="0"/>
        <w:bidi w:val="0"/>
        <w:adjustRightInd/>
        <w:snapToGrid/>
        <w:spacing w:before="0" w:line="360" w:lineRule="auto"/>
        <w:ind w:left="0" w:right="0" w:firstLine="480" w:firstLineChars="200"/>
        <w:jc w:val="right"/>
        <w:textAlignment w:val="auto"/>
        <w:rPr>
          <w:sz w:val="24"/>
          <w:szCs w:val="24"/>
          <w:highlight w:val="none"/>
        </w:rPr>
      </w:pPr>
      <w:r>
        <w:rPr>
          <w:sz w:val="24"/>
          <w:szCs w:val="24"/>
          <w:highlight w:val="none"/>
        </w:rPr>
        <w:t>年</w:t>
      </w:r>
      <w:r>
        <w:rPr>
          <w:rFonts w:hint="eastAsia"/>
          <w:sz w:val="24"/>
          <w:szCs w:val="24"/>
          <w:highlight w:val="none"/>
          <w:lang w:val="en-US" w:eastAsia="zh-CN"/>
        </w:rPr>
        <w:t xml:space="preserve">  </w:t>
      </w:r>
      <w:r>
        <w:rPr>
          <w:sz w:val="24"/>
          <w:szCs w:val="24"/>
          <w:highlight w:val="none"/>
        </w:rPr>
        <w:tab/>
      </w:r>
      <w:r>
        <w:rPr>
          <w:sz w:val="24"/>
          <w:szCs w:val="24"/>
          <w:highlight w:val="none"/>
        </w:rPr>
        <w:t>月</w:t>
      </w:r>
      <w:r>
        <w:rPr>
          <w:sz w:val="24"/>
          <w:szCs w:val="24"/>
          <w:highlight w:val="none"/>
        </w:rPr>
        <w:tab/>
      </w:r>
      <w:r>
        <w:rPr>
          <w:sz w:val="24"/>
          <w:szCs w:val="24"/>
          <w:highlight w:val="none"/>
        </w:rPr>
        <w:t>日</w:t>
      </w:r>
    </w:p>
    <w:p w14:paraId="0A78A898">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right"/>
        <w:textAlignment w:val="auto"/>
        <w:rPr>
          <w:sz w:val="24"/>
          <w:szCs w:val="24"/>
          <w:highlight w:val="none"/>
        </w:rPr>
        <w:sectPr>
          <w:pgSz w:w="11900" w:h="16840"/>
          <w:pgMar w:top="1463" w:right="1259" w:bottom="1463" w:left="1259" w:header="0" w:footer="13" w:gutter="0"/>
          <w:pgNumType w:fmt="decimal"/>
          <w:cols w:space="720" w:num="1"/>
        </w:sectPr>
      </w:pPr>
    </w:p>
    <w:p w14:paraId="3D026A2C">
      <w:pPr>
        <w:pStyle w:val="9"/>
        <w:spacing w:before="6"/>
        <w:ind w:left="0"/>
        <w:rPr>
          <w:color w:val="auto"/>
          <w:sz w:val="18"/>
          <w:highlight w:val="none"/>
        </w:rPr>
      </w:pPr>
    </w:p>
    <w:p w14:paraId="4B4A7C34">
      <w:pPr>
        <w:pStyle w:val="4"/>
        <w:spacing w:before="76"/>
        <w:ind w:left="295" w:right="362"/>
        <w:jc w:val="center"/>
        <w:rPr>
          <w:rFonts w:hint="eastAsia" w:ascii="宋体" w:hAnsi="宋体" w:eastAsia="宋体" w:cs="宋体"/>
          <w:color w:val="auto"/>
          <w:spacing w:val="-1"/>
          <w:sz w:val="19"/>
          <w:szCs w:val="22"/>
          <w:highlight w:val="none"/>
          <w:lang w:val="en-US" w:eastAsia="zh-CN" w:bidi="ar-SA"/>
        </w:rPr>
      </w:pPr>
      <w:bookmarkStart w:id="340" w:name="_Toc26371"/>
      <w:bookmarkStart w:id="341" w:name="_Toc24266"/>
      <w:bookmarkStart w:id="342" w:name="_Toc6169"/>
      <w:bookmarkStart w:id="343" w:name="_Toc7860"/>
      <w:bookmarkStart w:id="344" w:name="_Toc8403"/>
      <w:r>
        <w:rPr>
          <w:color w:val="auto"/>
          <w:sz w:val="28"/>
          <w:szCs w:val="28"/>
          <w:highlight w:val="none"/>
        </w:rPr>
        <w:t>十三、中小企业声明函</w:t>
      </w:r>
      <w:bookmarkEnd w:id="340"/>
      <w:bookmarkEnd w:id="341"/>
      <w:bookmarkEnd w:id="342"/>
      <w:bookmarkEnd w:id="343"/>
      <w:bookmarkEnd w:id="344"/>
      <w:bookmarkStart w:id="345" w:name="_Toc2373"/>
    </w:p>
    <w:p w14:paraId="4DFD253F">
      <w:pPr>
        <w:pStyle w:val="4"/>
        <w:ind w:left="0" w:leftChars="0" w:right="362" w:firstLine="0" w:firstLineChars="0"/>
        <w:jc w:val="center"/>
        <w:rPr>
          <w:color w:val="auto"/>
          <w:highlight w:val="none"/>
        </w:rPr>
      </w:pPr>
    </w:p>
    <w:p w14:paraId="05755728">
      <w:pPr>
        <w:pStyle w:val="4"/>
        <w:ind w:left="0" w:leftChars="0" w:right="362" w:firstLine="0" w:firstLineChars="0"/>
        <w:jc w:val="center"/>
        <w:rPr>
          <w:color w:val="auto"/>
          <w:highlight w:val="none"/>
        </w:rPr>
      </w:pPr>
      <w:bookmarkStart w:id="346" w:name="_Toc11267"/>
      <w:bookmarkStart w:id="347" w:name="_Toc14806"/>
      <w:bookmarkStart w:id="348" w:name="_Toc11673"/>
      <w:bookmarkStart w:id="349" w:name="_Toc7327"/>
    </w:p>
    <w:p w14:paraId="6ABD23CA">
      <w:pPr>
        <w:pStyle w:val="4"/>
        <w:ind w:left="0" w:leftChars="0" w:right="362" w:firstLine="0" w:firstLineChars="0"/>
        <w:jc w:val="center"/>
        <w:rPr>
          <w:color w:val="auto"/>
          <w:highlight w:val="none"/>
        </w:rPr>
      </w:pPr>
      <w:r>
        <w:rPr>
          <w:color w:val="auto"/>
          <w:highlight w:val="none"/>
        </w:rPr>
        <w:t>中小企业声明函（工程、服务）</w:t>
      </w:r>
      <w:bookmarkEnd w:id="345"/>
      <w:bookmarkEnd w:id="346"/>
      <w:bookmarkEnd w:id="347"/>
      <w:bookmarkEnd w:id="348"/>
      <w:bookmarkEnd w:id="349"/>
    </w:p>
    <w:p w14:paraId="291A032B">
      <w:pPr>
        <w:pStyle w:val="9"/>
        <w:keepNext w:val="0"/>
        <w:keepLines w:val="0"/>
        <w:pageBreakBefore w:val="0"/>
        <w:widowControl w:val="0"/>
        <w:kinsoku/>
        <w:wordWrap/>
        <w:overflowPunct/>
        <w:topLinePunct w:val="0"/>
        <w:autoSpaceDE w:val="0"/>
        <w:autoSpaceDN w:val="0"/>
        <w:bidi w:val="0"/>
        <w:adjustRightInd/>
        <w:snapToGrid/>
        <w:spacing w:before="75" w:line="360" w:lineRule="exact"/>
        <w:ind w:left="295" w:right="327"/>
        <w:jc w:val="left"/>
        <w:textAlignment w:val="auto"/>
        <w:rPr>
          <w:rFonts w:hint="eastAsia"/>
          <w:color w:val="auto"/>
          <w:sz w:val="24"/>
          <w:szCs w:val="24"/>
          <w:highlight w:val="none"/>
          <w:lang w:val="en-US" w:eastAsia="zh-CN"/>
        </w:rPr>
      </w:pPr>
      <w:r>
        <w:rPr>
          <w:rFonts w:hint="eastAsia"/>
          <w:color w:val="auto"/>
          <w:highlight w:val="none"/>
          <w:lang w:val="en-US" w:eastAsia="zh-CN"/>
        </w:rPr>
        <w:t xml:space="preserve"> </w:t>
      </w:r>
      <w:r>
        <w:rPr>
          <w:rFonts w:hint="eastAsia"/>
          <w:color w:val="auto"/>
          <w:sz w:val="24"/>
          <w:szCs w:val="24"/>
          <w:highlight w:val="none"/>
          <w:lang w:val="en-US" w:eastAsia="zh-CN"/>
        </w:rPr>
        <w:t xml:space="preserve"> </w:t>
      </w:r>
    </w:p>
    <w:p w14:paraId="0C53A8EB">
      <w:pPr>
        <w:pStyle w:val="9"/>
        <w:keepNext w:val="0"/>
        <w:keepLines w:val="0"/>
        <w:pageBreakBefore w:val="0"/>
        <w:widowControl w:val="0"/>
        <w:kinsoku/>
        <w:wordWrap/>
        <w:overflowPunct/>
        <w:topLinePunct w:val="0"/>
        <w:autoSpaceDE w:val="0"/>
        <w:autoSpaceDN w:val="0"/>
        <w:bidi w:val="0"/>
        <w:adjustRightInd/>
        <w:snapToGrid/>
        <w:spacing w:before="75" w:line="360" w:lineRule="exact"/>
        <w:ind w:left="295" w:right="327"/>
        <w:jc w:val="left"/>
        <w:textAlignment w:val="auto"/>
        <w:rPr>
          <w:color w:val="auto"/>
          <w:sz w:val="24"/>
          <w:szCs w:val="24"/>
          <w:highlight w:val="none"/>
        </w:rPr>
      </w:pPr>
      <w:r>
        <w:rPr>
          <w:color w:val="auto"/>
          <w:sz w:val="24"/>
          <w:szCs w:val="24"/>
          <w:highlight w:val="none"/>
        </w:rPr>
        <w:t>本公司（联合体）郑重声明，根据《政府采购促进中小企业发展管理办法》（财库﹝</w:t>
      </w:r>
      <w:r>
        <w:rPr>
          <w:rFonts w:hint="eastAsia" w:ascii="Meiryo" w:eastAsia="Meiryo"/>
          <w:color w:val="auto"/>
          <w:sz w:val="24"/>
          <w:szCs w:val="24"/>
          <w:highlight w:val="none"/>
        </w:rPr>
        <w:t>2020</w:t>
      </w:r>
      <w:r>
        <w:rPr>
          <w:color w:val="auto"/>
          <w:sz w:val="24"/>
          <w:szCs w:val="24"/>
          <w:highlight w:val="none"/>
        </w:rPr>
        <w:t>﹞</w:t>
      </w:r>
      <w:r>
        <w:rPr>
          <w:rFonts w:hint="eastAsia" w:ascii="Meiryo" w:eastAsia="Meiryo"/>
          <w:color w:val="auto"/>
          <w:sz w:val="24"/>
          <w:szCs w:val="24"/>
          <w:highlight w:val="none"/>
        </w:rPr>
        <w:t>46</w:t>
      </w:r>
      <w:r>
        <w:rPr>
          <w:rFonts w:hint="eastAsia" w:ascii="Meiryo" w:eastAsia="Meiryo"/>
          <w:color w:val="auto"/>
          <w:spacing w:val="17"/>
          <w:sz w:val="24"/>
          <w:szCs w:val="24"/>
          <w:highlight w:val="none"/>
        </w:rPr>
        <w:t xml:space="preserve">  </w:t>
      </w:r>
      <w:r>
        <w:rPr>
          <w:color w:val="auto"/>
          <w:sz w:val="24"/>
          <w:szCs w:val="24"/>
          <w:highlight w:val="none"/>
        </w:rPr>
        <w:t>号）的规定，本</w:t>
      </w:r>
      <w:r>
        <w:rPr>
          <w:rFonts w:hint="eastAsia" w:cs="宋体"/>
          <w:color w:val="auto"/>
          <w:spacing w:val="-1"/>
          <w:sz w:val="24"/>
          <w:szCs w:val="24"/>
          <w:highlight w:val="none"/>
          <w:lang w:val="en-US" w:eastAsia="zh-CN" w:bidi="ar-SA"/>
        </w:rPr>
        <w:t>公司</w:t>
      </w:r>
      <w:r>
        <w:rPr>
          <w:color w:val="auto"/>
          <w:sz w:val="24"/>
          <w:szCs w:val="24"/>
          <w:highlight w:val="none"/>
        </w:rPr>
        <w:t>（联合体）参加（单位名称）的（项目名称）采购活动，工程的施工单位全部为符合政策要求的中小企业（</w:t>
      </w:r>
      <w:r>
        <w:rPr>
          <w:color w:val="auto"/>
          <w:spacing w:val="-3"/>
          <w:sz w:val="24"/>
          <w:szCs w:val="24"/>
          <w:highlight w:val="none"/>
        </w:rPr>
        <w:t>或者：服务全部由</w:t>
      </w:r>
      <w:r>
        <w:rPr>
          <w:color w:val="auto"/>
          <w:sz w:val="24"/>
          <w:szCs w:val="24"/>
          <w:highlight w:val="none"/>
        </w:rPr>
        <w:t>符合政策要求的中小企业承接）。相关企业（含联合体中的中小企业、签订分包意向协议的中小企业）的具体情况如下：</w:t>
      </w:r>
    </w:p>
    <w:p w14:paraId="70209216">
      <w:pPr>
        <w:pStyle w:val="9"/>
        <w:keepNext w:val="0"/>
        <w:keepLines w:val="0"/>
        <w:pageBreakBefore w:val="0"/>
        <w:widowControl w:val="0"/>
        <w:tabs>
          <w:tab w:val="left" w:pos="10080"/>
        </w:tabs>
        <w:kinsoku/>
        <w:wordWrap/>
        <w:overflowPunct/>
        <w:topLinePunct w:val="0"/>
        <w:autoSpaceDE w:val="0"/>
        <w:autoSpaceDN w:val="0"/>
        <w:bidi w:val="0"/>
        <w:adjustRightInd/>
        <w:snapToGrid/>
        <w:spacing w:line="360" w:lineRule="exact"/>
        <w:textAlignment w:val="auto"/>
        <w:rPr>
          <w:color w:val="auto"/>
          <w:sz w:val="24"/>
          <w:szCs w:val="24"/>
          <w:highlight w:val="none"/>
        </w:rPr>
      </w:pPr>
      <w:r>
        <w:rPr>
          <w:rFonts w:hint="eastAsia" w:ascii="Meiryo" w:eastAsia="Meiryo"/>
          <w:color w:val="auto"/>
          <w:sz w:val="24"/>
          <w:szCs w:val="24"/>
          <w:highlight w:val="none"/>
        </w:rPr>
        <w:t>1.</w:t>
      </w:r>
      <w:r>
        <w:rPr>
          <w:color w:val="auto"/>
          <w:sz w:val="24"/>
          <w:szCs w:val="24"/>
          <w:highlight w:val="none"/>
        </w:rPr>
        <w:t>（标的名称），属于（采购文件中明确的所属行业）；承建（承接）企业为（企业名称），从业人员</w:t>
      </w:r>
      <w:r>
        <w:rPr>
          <w:rFonts w:hint="eastAsia" w:ascii="宋体" w:hAnsi="宋体" w:eastAsia="宋体" w:cs="宋体"/>
          <w:sz w:val="24"/>
          <w:szCs w:val="24"/>
          <w:highlight w:val="none"/>
          <w:u w:val="single"/>
          <w:lang w:val="en-US" w:eastAsia="zh-CN"/>
        </w:rPr>
        <w:t xml:space="preserve">        </w:t>
      </w:r>
      <w:r>
        <w:rPr>
          <w:color w:val="auto"/>
          <w:sz w:val="24"/>
          <w:szCs w:val="24"/>
          <w:highlight w:val="none"/>
        </w:rPr>
        <w:t>人，营业收入为</w:t>
      </w:r>
      <w:r>
        <w:rPr>
          <w:rFonts w:hint="eastAsia" w:ascii="宋体" w:hAnsi="宋体" w:eastAsia="宋体" w:cs="宋体"/>
          <w:sz w:val="24"/>
          <w:szCs w:val="24"/>
          <w:highlight w:val="none"/>
          <w:u w:val="single"/>
          <w:lang w:val="en-US" w:eastAsia="zh-CN"/>
        </w:rPr>
        <w:t xml:space="preserve">          </w:t>
      </w:r>
      <w:r>
        <w:rPr>
          <w:color w:val="auto"/>
          <w:sz w:val="24"/>
          <w:szCs w:val="24"/>
          <w:highlight w:val="none"/>
        </w:rPr>
        <w:t>万元，资产总额为</w:t>
      </w:r>
      <w:r>
        <w:rPr>
          <w:rFonts w:hint="eastAsia" w:ascii="宋体" w:hAnsi="宋体" w:eastAsia="宋体" w:cs="宋体"/>
          <w:sz w:val="24"/>
          <w:szCs w:val="24"/>
          <w:highlight w:val="none"/>
          <w:u w:val="single"/>
          <w:lang w:val="en-US" w:eastAsia="zh-CN"/>
        </w:rPr>
        <w:t xml:space="preserve">          </w:t>
      </w:r>
      <w:r>
        <w:rPr>
          <w:color w:val="auto"/>
          <w:sz w:val="24"/>
          <w:szCs w:val="24"/>
          <w:highlight w:val="none"/>
        </w:rPr>
        <w:t>万元</w:t>
      </w:r>
      <w:r>
        <w:rPr>
          <w:color w:val="auto"/>
          <w:sz w:val="24"/>
          <w:szCs w:val="24"/>
          <w:highlight w:val="none"/>
          <w:vertAlign w:val="baseline"/>
        </w:rPr>
        <w:t>，属于（中型企业、小型企业、微型企业）；</w:t>
      </w:r>
    </w:p>
    <w:p w14:paraId="79F1CE18">
      <w:pPr>
        <w:pStyle w:val="9"/>
        <w:keepNext w:val="0"/>
        <w:keepLines w:val="0"/>
        <w:pageBreakBefore w:val="0"/>
        <w:widowControl w:val="0"/>
        <w:tabs>
          <w:tab w:val="left" w:pos="1834"/>
          <w:tab w:val="left" w:pos="4331"/>
          <w:tab w:val="left" w:pos="10080"/>
        </w:tabs>
        <w:kinsoku/>
        <w:wordWrap/>
        <w:overflowPunct/>
        <w:topLinePunct w:val="0"/>
        <w:autoSpaceDE w:val="0"/>
        <w:autoSpaceDN w:val="0"/>
        <w:bidi w:val="0"/>
        <w:adjustRightInd/>
        <w:snapToGrid/>
        <w:spacing w:before="15" w:line="360" w:lineRule="exact"/>
        <w:ind w:left="106" w:right="161" w:firstLine="384"/>
        <w:textAlignment w:val="auto"/>
        <w:rPr>
          <w:color w:val="auto"/>
          <w:sz w:val="24"/>
          <w:szCs w:val="24"/>
          <w:highlight w:val="none"/>
        </w:rPr>
      </w:pPr>
      <w:r>
        <w:rPr>
          <w:rFonts w:hint="eastAsia" w:ascii="Meiryo" w:eastAsia="Meiryo"/>
          <w:color w:val="auto"/>
          <w:sz w:val="24"/>
          <w:szCs w:val="24"/>
          <w:highlight w:val="none"/>
        </w:rPr>
        <w:t>2.</w:t>
      </w:r>
      <w:r>
        <w:rPr>
          <w:color w:val="auto"/>
          <w:sz w:val="24"/>
          <w:szCs w:val="24"/>
          <w:highlight w:val="none"/>
        </w:rPr>
        <w:t>（标的名称），属于（采购文件中明确的所属行业）；承建（承接）企业为（企业名称），从业人员人，</w:t>
      </w:r>
    </w:p>
    <w:p w14:paraId="6A251A68">
      <w:pPr>
        <w:pStyle w:val="9"/>
        <w:keepNext w:val="0"/>
        <w:keepLines w:val="0"/>
        <w:pageBreakBefore w:val="0"/>
        <w:widowControl w:val="0"/>
        <w:tabs>
          <w:tab w:val="left" w:pos="1834"/>
          <w:tab w:val="left" w:pos="4331"/>
          <w:tab w:val="left" w:pos="10080"/>
        </w:tabs>
        <w:kinsoku/>
        <w:wordWrap/>
        <w:overflowPunct/>
        <w:topLinePunct w:val="0"/>
        <w:autoSpaceDE w:val="0"/>
        <w:autoSpaceDN w:val="0"/>
        <w:bidi w:val="0"/>
        <w:adjustRightInd/>
        <w:snapToGrid/>
        <w:spacing w:before="15" w:line="360" w:lineRule="exact"/>
        <w:ind w:left="0" w:leftChars="0" w:right="161" w:firstLine="612" w:firstLineChars="300"/>
        <w:textAlignment w:val="auto"/>
        <w:rPr>
          <w:color w:val="auto"/>
          <w:sz w:val="24"/>
          <w:szCs w:val="24"/>
          <w:highlight w:val="none"/>
        </w:rPr>
      </w:pPr>
      <w:r>
        <w:rPr>
          <w:color w:val="auto"/>
          <w:spacing w:val="-18"/>
          <w:sz w:val="24"/>
          <w:szCs w:val="24"/>
          <w:highlight w:val="none"/>
        </w:rPr>
        <w:t>营</w:t>
      </w:r>
      <w:r>
        <w:rPr>
          <w:color w:val="auto"/>
          <w:sz w:val="24"/>
          <w:szCs w:val="24"/>
          <w:highlight w:val="none"/>
        </w:rPr>
        <w:t>业收入为</w:t>
      </w:r>
      <w:r>
        <w:rPr>
          <w:rFonts w:ascii="Times New Roman" w:eastAsia="Times New Roman"/>
          <w:color w:val="auto"/>
          <w:sz w:val="24"/>
          <w:szCs w:val="24"/>
          <w:highlight w:val="none"/>
          <w:u w:val="single"/>
        </w:rPr>
        <w:tab/>
      </w:r>
      <w:r>
        <w:rPr>
          <w:rFonts w:hint="eastAsia" w:ascii="Times New Roman" w:eastAsia="宋体"/>
          <w:color w:val="auto"/>
          <w:sz w:val="24"/>
          <w:szCs w:val="24"/>
          <w:highlight w:val="none"/>
          <w:u w:val="single"/>
          <w:lang w:val="en-US" w:eastAsia="zh-CN"/>
        </w:rPr>
        <w:t xml:space="preserve">        </w:t>
      </w:r>
      <w:r>
        <w:rPr>
          <w:color w:val="auto"/>
          <w:sz w:val="24"/>
          <w:szCs w:val="24"/>
          <w:highlight w:val="none"/>
        </w:rPr>
        <w:t>万元，资产总额为</w:t>
      </w:r>
      <w:r>
        <w:rPr>
          <w:rFonts w:ascii="Times New Roman" w:eastAsia="Times New Roman"/>
          <w:color w:val="auto"/>
          <w:sz w:val="24"/>
          <w:szCs w:val="24"/>
          <w:highlight w:val="none"/>
          <w:u w:val="single"/>
        </w:rPr>
        <w:tab/>
      </w:r>
      <w:r>
        <w:rPr>
          <w:rFonts w:hint="eastAsia" w:ascii="Times New Roman" w:eastAsia="宋体"/>
          <w:color w:val="auto"/>
          <w:sz w:val="24"/>
          <w:szCs w:val="24"/>
          <w:highlight w:val="none"/>
          <w:u w:val="single"/>
          <w:lang w:val="en-US" w:eastAsia="zh-CN"/>
        </w:rPr>
        <w:t xml:space="preserve">      </w:t>
      </w:r>
      <w:r>
        <w:rPr>
          <w:color w:val="auto"/>
          <w:sz w:val="24"/>
          <w:szCs w:val="24"/>
          <w:highlight w:val="none"/>
        </w:rPr>
        <w:t>万元，属于（中型企业、小型企业、微型企业）；</w:t>
      </w:r>
    </w:p>
    <w:p w14:paraId="6C55D578">
      <w:pPr>
        <w:pStyle w:val="9"/>
        <w:keepNext w:val="0"/>
        <w:keepLines w:val="0"/>
        <w:pageBreakBefore w:val="0"/>
        <w:widowControl w:val="0"/>
        <w:kinsoku/>
        <w:wordWrap/>
        <w:overflowPunct/>
        <w:topLinePunct w:val="0"/>
        <w:autoSpaceDE w:val="0"/>
        <w:autoSpaceDN w:val="0"/>
        <w:bidi w:val="0"/>
        <w:adjustRightInd/>
        <w:snapToGrid/>
        <w:spacing w:before="71" w:line="360" w:lineRule="exact"/>
        <w:textAlignment w:val="auto"/>
        <w:rPr>
          <w:rFonts w:ascii="Meiryo" w:hAnsi="Meiryo"/>
          <w:color w:val="auto"/>
          <w:sz w:val="24"/>
          <w:szCs w:val="24"/>
          <w:highlight w:val="none"/>
        </w:rPr>
      </w:pPr>
      <w:r>
        <w:rPr>
          <w:rFonts w:ascii="Meiryo" w:hAnsi="Meiryo"/>
          <w:color w:val="auto"/>
          <w:sz w:val="24"/>
          <w:szCs w:val="24"/>
          <w:highlight w:val="none"/>
        </w:rPr>
        <w:t>……</w:t>
      </w:r>
    </w:p>
    <w:p w14:paraId="13CD5659">
      <w:pPr>
        <w:pStyle w:val="9"/>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476" w:firstLineChars="200"/>
        <w:textAlignment w:val="auto"/>
        <w:rPr>
          <w:rFonts w:hint="eastAsia" w:ascii="宋体" w:hAnsi="宋体" w:eastAsia="宋体" w:cs="宋体"/>
          <w:color w:val="auto"/>
          <w:spacing w:val="-1"/>
          <w:sz w:val="24"/>
          <w:szCs w:val="24"/>
          <w:highlight w:val="none"/>
          <w:lang w:val="en-US" w:eastAsia="zh-CN" w:bidi="ar-SA"/>
        </w:rPr>
      </w:pPr>
      <w:r>
        <w:rPr>
          <w:rFonts w:hint="eastAsia" w:ascii="宋体" w:hAnsi="宋体" w:eastAsia="宋体" w:cs="宋体"/>
          <w:color w:val="auto"/>
          <w:spacing w:val="-1"/>
          <w:sz w:val="24"/>
          <w:szCs w:val="24"/>
          <w:highlight w:val="none"/>
          <w:lang w:val="en-US" w:eastAsia="zh-CN" w:bidi="ar-SA"/>
        </w:rPr>
        <w:t>以上企业，不属于大企业的分支机构，不存在控股股东为大企业的情形，也不存在与大企业的负责人为同一人的情形。本企业对上述声明内容的真实性负责。如有虚假，将依法承担相应责任。</w:t>
      </w:r>
    </w:p>
    <w:p w14:paraId="0C085E95">
      <w:pPr>
        <w:pStyle w:val="9"/>
        <w:keepNext w:val="0"/>
        <w:keepLines w:val="0"/>
        <w:pageBreakBefore w:val="0"/>
        <w:widowControl w:val="0"/>
        <w:kinsoku/>
        <w:wordWrap/>
        <w:overflowPunct/>
        <w:topLinePunct w:val="0"/>
        <w:autoSpaceDE w:val="0"/>
        <w:autoSpaceDN w:val="0"/>
        <w:bidi w:val="0"/>
        <w:adjustRightInd/>
        <w:snapToGrid/>
        <w:spacing w:line="360" w:lineRule="exact"/>
        <w:ind w:left="6539"/>
        <w:textAlignment w:val="auto"/>
        <w:rPr>
          <w:color w:val="auto"/>
          <w:sz w:val="24"/>
          <w:szCs w:val="24"/>
          <w:highlight w:val="none"/>
        </w:rPr>
      </w:pPr>
      <w:r>
        <w:rPr>
          <w:rFonts w:hint="eastAsia"/>
          <w:color w:val="auto"/>
          <w:sz w:val="24"/>
          <w:szCs w:val="24"/>
          <w:highlight w:val="none"/>
          <w:lang w:val="en-US" w:eastAsia="zh-CN"/>
        </w:rPr>
        <w:t>供应商名称</w:t>
      </w:r>
      <w:r>
        <w:rPr>
          <w:color w:val="auto"/>
          <w:sz w:val="24"/>
          <w:szCs w:val="24"/>
          <w:highlight w:val="none"/>
        </w:rPr>
        <w:t>（盖章）：</w:t>
      </w:r>
    </w:p>
    <w:p w14:paraId="6B3803DB">
      <w:pPr>
        <w:pStyle w:val="9"/>
        <w:keepNext w:val="0"/>
        <w:keepLines w:val="0"/>
        <w:pageBreakBefore w:val="0"/>
        <w:widowControl w:val="0"/>
        <w:kinsoku/>
        <w:wordWrap/>
        <w:overflowPunct/>
        <w:topLinePunct w:val="0"/>
        <w:autoSpaceDE w:val="0"/>
        <w:autoSpaceDN w:val="0"/>
        <w:bidi w:val="0"/>
        <w:adjustRightInd/>
        <w:snapToGrid/>
        <w:spacing w:before="140" w:line="360" w:lineRule="exact"/>
        <w:ind w:firstLine="6720" w:firstLineChars="3000"/>
        <w:textAlignment w:val="auto"/>
        <w:rPr>
          <w:color w:val="auto"/>
          <w:sz w:val="24"/>
          <w:szCs w:val="24"/>
          <w:highlight w:val="none"/>
        </w:rPr>
      </w:pPr>
      <w:r>
        <w:rPr>
          <w:color w:val="auto"/>
          <w:spacing w:val="-8"/>
          <w:sz w:val="24"/>
          <w:szCs w:val="24"/>
          <w:highlight w:val="none"/>
        </w:rPr>
        <w:t>日 期：</w:t>
      </w:r>
    </w:p>
    <w:p w14:paraId="2D389BCF">
      <w:pPr>
        <w:pStyle w:val="9"/>
        <w:keepNext w:val="0"/>
        <w:keepLines w:val="0"/>
        <w:pageBreakBefore w:val="0"/>
        <w:widowControl w:val="0"/>
        <w:kinsoku/>
        <w:wordWrap/>
        <w:overflowPunct/>
        <w:topLinePunct w:val="0"/>
        <w:autoSpaceDE w:val="0"/>
        <w:autoSpaceDN w:val="0"/>
        <w:bidi w:val="0"/>
        <w:adjustRightInd/>
        <w:snapToGrid/>
        <w:spacing w:before="10" w:line="360" w:lineRule="exact"/>
        <w:ind w:left="0"/>
        <w:textAlignment w:val="auto"/>
        <w:rPr>
          <w:color w:val="auto"/>
          <w:sz w:val="24"/>
          <w:szCs w:val="24"/>
          <w:highlight w:val="none"/>
        </w:rPr>
      </w:pPr>
    </w:p>
    <w:p w14:paraId="7F930DF6">
      <w:pPr>
        <w:keepNext w:val="0"/>
        <w:keepLines w:val="0"/>
        <w:pageBreakBefore w:val="0"/>
        <w:widowControl w:val="0"/>
        <w:kinsoku/>
        <w:wordWrap/>
        <w:overflowPunct/>
        <w:topLinePunct w:val="0"/>
        <w:autoSpaceDE w:val="0"/>
        <w:autoSpaceDN w:val="0"/>
        <w:bidi w:val="0"/>
        <w:adjustRightInd/>
        <w:snapToGrid/>
        <w:spacing w:before="0" w:line="360" w:lineRule="exact"/>
        <w:ind w:left="394" w:right="0" w:firstLine="0"/>
        <w:jc w:val="left"/>
        <w:textAlignment w:val="auto"/>
        <w:rPr>
          <w:rFonts w:hint="eastAsia" w:ascii="宋体" w:hAnsi="宋体" w:eastAsia="宋体" w:cs="宋体"/>
          <w:color w:val="auto"/>
          <w:spacing w:val="-1"/>
          <w:sz w:val="24"/>
          <w:szCs w:val="24"/>
          <w:highlight w:val="none"/>
          <w:lang w:val="en-US" w:eastAsia="zh-CN" w:bidi="ar-SA"/>
        </w:rPr>
      </w:pPr>
      <w:r>
        <w:rPr>
          <w:rFonts w:hint="eastAsia" w:ascii="宋体" w:hAnsi="宋体" w:eastAsia="宋体" w:cs="宋体"/>
          <w:color w:val="auto"/>
          <w:spacing w:val="-1"/>
          <w:sz w:val="24"/>
          <w:szCs w:val="24"/>
          <w:highlight w:val="none"/>
          <w:lang w:val="en-US" w:eastAsia="zh-CN" w:bidi="ar-SA"/>
        </w:rPr>
        <w:t>1从业人员、营业收入、资产总额填报上一年度数据，无上一年度数据的新成立企业可不填报</w:t>
      </w:r>
    </w:p>
    <w:p w14:paraId="3C0DA29A">
      <w:pPr>
        <w:keepNext w:val="0"/>
        <w:keepLines w:val="0"/>
        <w:pageBreakBefore w:val="0"/>
        <w:widowControl w:val="0"/>
        <w:kinsoku/>
        <w:wordWrap/>
        <w:overflowPunct/>
        <w:topLinePunct w:val="0"/>
        <w:autoSpaceDE w:val="0"/>
        <w:autoSpaceDN w:val="0"/>
        <w:bidi w:val="0"/>
        <w:adjustRightInd/>
        <w:snapToGrid/>
        <w:spacing w:before="0" w:line="360" w:lineRule="exact"/>
        <w:ind w:left="0" w:right="0" w:firstLine="476" w:firstLineChars="200"/>
        <w:jc w:val="left"/>
        <w:textAlignment w:val="auto"/>
        <w:rPr>
          <w:rFonts w:hint="eastAsia" w:ascii="宋体" w:hAnsi="宋体" w:eastAsia="宋体" w:cs="宋体"/>
          <w:color w:val="auto"/>
          <w:spacing w:val="-1"/>
          <w:sz w:val="24"/>
          <w:szCs w:val="24"/>
          <w:highlight w:val="none"/>
          <w:lang w:val="en-US" w:eastAsia="zh-CN" w:bidi="ar-SA"/>
        </w:rPr>
        <w:sectPr>
          <w:pgSz w:w="11900" w:h="16840"/>
          <w:pgMar w:top="1463" w:right="1145" w:bottom="1463" w:left="1145" w:header="0" w:footer="13" w:gutter="0"/>
          <w:pgNumType w:fmt="decimal"/>
          <w:cols w:space="720" w:num="1"/>
        </w:sectPr>
      </w:pPr>
    </w:p>
    <w:p w14:paraId="68FFF94F">
      <w:pPr>
        <w:pStyle w:val="9"/>
        <w:spacing w:before="5"/>
        <w:ind w:left="0"/>
        <w:rPr>
          <w:color w:val="auto"/>
          <w:sz w:val="24"/>
          <w:highlight w:val="none"/>
        </w:rPr>
      </w:pPr>
    </w:p>
    <w:p w14:paraId="17EBF3F9">
      <w:pPr>
        <w:pStyle w:val="4"/>
        <w:ind w:left="295" w:right="362"/>
        <w:jc w:val="center"/>
        <w:rPr>
          <w:color w:val="auto"/>
          <w:sz w:val="28"/>
          <w:szCs w:val="28"/>
          <w:highlight w:val="none"/>
        </w:rPr>
      </w:pPr>
      <w:bookmarkStart w:id="350" w:name="_Toc3134"/>
      <w:bookmarkStart w:id="351" w:name="_Toc6326"/>
      <w:bookmarkStart w:id="352" w:name="_Toc24854"/>
      <w:bookmarkStart w:id="353" w:name="_Toc5316"/>
      <w:bookmarkStart w:id="354" w:name="_Toc6255"/>
      <w:r>
        <w:rPr>
          <w:color w:val="auto"/>
          <w:sz w:val="28"/>
          <w:szCs w:val="28"/>
          <w:highlight w:val="none"/>
        </w:rPr>
        <w:t>十四、监狱企业证明文件</w:t>
      </w:r>
      <w:bookmarkEnd w:id="350"/>
      <w:bookmarkEnd w:id="351"/>
      <w:bookmarkEnd w:id="352"/>
      <w:bookmarkEnd w:id="353"/>
      <w:bookmarkEnd w:id="354"/>
    </w:p>
    <w:p w14:paraId="6B90F5E1">
      <w:pPr>
        <w:pStyle w:val="9"/>
        <w:spacing w:before="111"/>
        <w:jc w:val="center"/>
        <w:rPr>
          <w:color w:val="auto"/>
          <w:sz w:val="24"/>
          <w:szCs w:val="24"/>
          <w:highlight w:val="none"/>
        </w:rPr>
      </w:pPr>
    </w:p>
    <w:p w14:paraId="04AF5EC6">
      <w:pPr>
        <w:pStyle w:val="9"/>
        <w:spacing w:before="111"/>
        <w:jc w:val="center"/>
        <w:rPr>
          <w:color w:val="auto"/>
          <w:sz w:val="24"/>
          <w:szCs w:val="24"/>
          <w:highlight w:val="none"/>
        </w:rPr>
      </w:pPr>
      <w:r>
        <w:rPr>
          <w:color w:val="auto"/>
          <w:sz w:val="24"/>
          <w:szCs w:val="24"/>
          <w:highlight w:val="none"/>
        </w:rPr>
        <w:t>提供由省级以上监狱管理局、戒毒管理局（含新疆生产建设兵团）出具的属于监狱企业的证明文件。</w:t>
      </w:r>
    </w:p>
    <w:p w14:paraId="10DAB18C">
      <w:pPr>
        <w:spacing w:after="0"/>
        <w:rPr>
          <w:color w:val="auto"/>
          <w:highlight w:val="none"/>
        </w:rPr>
        <w:sectPr>
          <w:pgSz w:w="11900" w:h="16840"/>
          <w:pgMar w:top="1599" w:right="1259" w:bottom="1599" w:left="1259" w:header="720" w:footer="91" w:gutter="0"/>
          <w:pgNumType w:fmt="decimal"/>
          <w:cols w:space="0" w:num="1"/>
          <w:rtlGutter w:val="0"/>
          <w:docGrid w:linePitch="0" w:charSpace="0"/>
        </w:sectPr>
      </w:pPr>
    </w:p>
    <w:p w14:paraId="005B2203">
      <w:pPr>
        <w:pStyle w:val="9"/>
        <w:spacing w:before="5"/>
        <w:ind w:left="0"/>
        <w:rPr>
          <w:color w:val="auto"/>
          <w:sz w:val="24"/>
          <w:highlight w:val="none"/>
        </w:rPr>
      </w:pPr>
    </w:p>
    <w:p w14:paraId="6D78DF58">
      <w:pPr>
        <w:pStyle w:val="4"/>
        <w:ind w:firstLine="1968" w:firstLineChars="700"/>
        <w:rPr>
          <w:color w:val="auto"/>
          <w:sz w:val="28"/>
          <w:szCs w:val="28"/>
          <w:highlight w:val="none"/>
        </w:rPr>
      </w:pPr>
      <w:bookmarkStart w:id="355" w:name="_Toc24974"/>
      <w:bookmarkStart w:id="356" w:name="_Toc20501"/>
      <w:bookmarkStart w:id="357" w:name="_Toc9840"/>
      <w:bookmarkStart w:id="358" w:name="_Toc11591"/>
      <w:bookmarkStart w:id="359" w:name="_Toc1605"/>
      <w:r>
        <w:rPr>
          <w:color w:val="auto"/>
          <w:sz w:val="28"/>
          <w:szCs w:val="28"/>
          <w:highlight w:val="none"/>
        </w:rPr>
        <w:t>十五、残疾人福利性单位声明函</w:t>
      </w:r>
      <w:bookmarkEnd w:id="355"/>
      <w:bookmarkEnd w:id="356"/>
      <w:bookmarkEnd w:id="357"/>
      <w:bookmarkEnd w:id="358"/>
      <w:bookmarkEnd w:id="359"/>
    </w:p>
    <w:p w14:paraId="530EA9ED">
      <w:pPr>
        <w:pStyle w:val="9"/>
        <w:tabs>
          <w:tab w:val="left" w:pos="6803"/>
          <w:tab w:val="left" w:pos="7956"/>
        </w:tabs>
        <w:spacing w:before="75" w:line="259" w:lineRule="auto"/>
        <w:ind w:left="106" w:right="173" w:firstLine="384"/>
        <w:rPr>
          <w:color w:val="auto"/>
          <w:sz w:val="24"/>
          <w:szCs w:val="24"/>
          <w:highlight w:val="none"/>
        </w:rPr>
      </w:pPr>
    </w:p>
    <w:p w14:paraId="4974A51B">
      <w:pPr>
        <w:pStyle w:val="9"/>
        <w:tabs>
          <w:tab w:val="left" w:pos="6803"/>
          <w:tab w:val="left" w:pos="7956"/>
        </w:tabs>
        <w:spacing w:before="75" w:line="259" w:lineRule="auto"/>
        <w:ind w:left="106" w:right="173" w:firstLine="384"/>
        <w:rPr>
          <w:color w:val="auto"/>
          <w:sz w:val="24"/>
          <w:szCs w:val="24"/>
          <w:highlight w:val="none"/>
        </w:rPr>
      </w:pPr>
      <w:r>
        <w:rPr>
          <w:color w:val="auto"/>
          <w:sz w:val="24"/>
          <w:szCs w:val="24"/>
          <w:highlight w:val="none"/>
        </w:rPr>
        <w:t>本单位郑重声明，根据《财政部</w:t>
      </w:r>
      <w:r>
        <w:rPr>
          <w:color w:val="auto"/>
          <w:spacing w:val="-9"/>
          <w:sz w:val="24"/>
          <w:szCs w:val="24"/>
          <w:highlight w:val="none"/>
        </w:rPr>
        <w:t xml:space="preserve"> </w:t>
      </w:r>
      <w:r>
        <w:rPr>
          <w:color w:val="auto"/>
          <w:sz w:val="24"/>
          <w:szCs w:val="24"/>
          <w:highlight w:val="none"/>
        </w:rPr>
        <w:t>民政部</w:t>
      </w:r>
      <w:r>
        <w:rPr>
          <w:color w:val="auto"/>
          <w:spacing w:val="-9"/>
          <w:sz w:val="24"/>
          <w:szCs w:val="24"/>
          <w:highlight w:val="none"/>
        </w:rPr>
        <w:t xml:space="preserve"> </w:t>
      </w:r>
      <w:r>
        <w:rPr>
          <w:color w:val="auto"/>
          <w:sz w:val="24"/>
          <w:szCs w:val="24"/>
          <w:highlight w:val="none"/>
        </w:rPr>
        <w:t>中国残疾人联合会关于促进残疾人就业政府采购政策的通知》（财库〔</w:t>
      </w:r>
      <w:r>
        <w:rPr>
          <w:rFonts w:hint="eastAsia" w:ascii="Meiryo" w:eastAsia="Meiryo"/>
          <w:color w:val="auto"/>
          <w:spacing w:val="-3"/>
          <w:sz w:val="24"/>
          <w:szCs w:val="24"/>
          <w:highlight w:val="none"/>
        </w:rPr>
        <w:t>2017</w:t>
      </w:r>
      <w:r>
        <w:rPr>
          <w:color w:val="auto"/>
          <w:sz w:val="24"/>
          <w:szCs w:val="24"/>
          <w:highlight w:val="none"/>
        </w:rPr>
        <w:t>〕</w:t>
      </w:r>
      <w:r>
        <w:rPr>
          <w:rFonts w:hint="eastAsia" w:ascii="Meiryo" w:eastAsia="Meiryo"/>
          <w:color w:val="auto"/>
          <w:spacing w:val="-3"/>
          <w:sz w:val="24"/>
          <w:szCs w:val="24"/>
          <w:highlight w:val="none"/>
        </w:rPr>
        <w:t>141</w:t>
      </w:r>
      <w:r>
        <w:rPr>
          <w:color w:val="auto"/>
          <w:sz w:val="24"/>
          <w:szCs w:val="24"/>
          <w:highlight w:val="none"/>
        </w:rPr>
        <w:t>号）的规定，本单位为符合条件的残疾人福利性单位，且本单位参加</w:t>
      </w:r>
      <w:r>
        <w:rPr>
          <w:rFonts w:hint="eastAsia"/>
          <w:color w:val="auto"/>
          <w:sz w:val="24"/>
          <w:szCs w:val="24"/>
          <w:highlight w:val="none"/>
          <w:u w:val="single"/>
          <w:lang w:val="en-US" w:eastAsia="zh-CN"/>
        </w:rPr>
        <w:t xml:space="preserve">          </w:t>
      </w:r>
      <w:r>
        <w:rPr>
          <w:color w:val="auto"/>
          <w:w w:val="105"/>
          <w:sz w:val="24"/>
          <w:szCs w:val="24"/>
          <w:highlight w:val="none"/>
        </w:rPr>
        <w:t>单位的</w:t>
      </w:r>
      <w:r>
        <w:rPr>
          <w:rFonts w:hint="eastAsia"/>
          <w:color w:val="auto"/>
          <w:w w:val="105"/>
          <w:sz w:val="24"/>
          <w:szCs w:val="24"/>
          <w:highlight w:val="none"/>
          <w:u w:val="single"/>
          <w:lang w:val="en-US" w:eastAsia="zh-CN"/>
        </w:rPr>
        <w:t xml:space="preserve">        </w:t>
      </w:r>
      <w:r>
        <w:rPr>
          <w:color w:val="auto"/>
          <w:sz w:val="24"/>
          <w:szCs w:val="24"/>
          <w:highlight w:val="none"/>
        </w:rPr>
        <w:t>项目采购活动提供本单位制造</w:t>
      </w:r>
      <w:r>
        <w:rPr>
          <w:color w:val="auto"/>
          <w:spacing w:val="-18"/>
          <w:sz w:val="24"/>
          <w:szCs w:val="24"/>
          <w:highlight w:val="none"/>
        </w:rPr>
        <w:t>的</w:t>
      </w:r>
      <w:r>
        <w:rPr>
          <w:color w:val="auto"/>
          <w:sz w:val="24"/>
          <w:szCs w:val="24"/>
          <w:highlight w:val="none"/>
        </w:rPr>
        <w:t>货物（由本单位承担工程</w:t>
      </w:r>
      <w:r>
        <w:rPr>
          <w:rFonts w:hint="eastAsia" w:ascii="Meiryo" w:eastAsia="Meiryo"/>
          <w:color w:val="auto"/>
          <w:spacing w:val="-5"/>
          <w:sz w:val="24"/>
          <w:szCs w:val="24"/>
          <w:highlight w:val="none"/>
        </w:rPr>
        <w:t>/</w:t>
      </w:r>
      <w:r>
        <w:rPr>
          <w:color w:val="auto"/>
          <w:sz w:val="24"/>
          <w:szCs w:val="24"/>
          <w:highlight w:val="none"/>
        </w:rPr>
        <w:t xml:space="preserve">提供服务），或者提供其他残疾人福利性单位制造的货物（不包括使用非残疾人福利性单位注册商 </w:t>
      </w:r>
      <w:r>
        <w:rPr>
          <w:color w:val="auto"/>
          <w:w w:val="105"/>
          <w:sz w:val="24"/>
          <w:szCs w:val="24"/>
          <w:highlight w:val="none"/>
        </w:rPr>
        <w:t>标的货物）。</w:t>
      </w:r>
    </w:p>
    <w:p w14:paraId="597027FA">
      <w:pPr>
        <w:pStyle w:val="9"/>
        <w:spacing w:before="115"/>
        <w:rPr>
          <w:color w:val="auto"/>
          <w:sz w:val="24"/>
          <w:szCs w:val="24"/>
          <w:highlight w:val="none"/>
        </w:rPr>
      </w:pPr>
      <w:r>
        <w:rPr>
          <w:color w:val="auto"/>
          <w:sz w:val="24"/>
          <w:szCs w:val="24"/>
          <w:highlight w:val="none"/>
        </w:rPr>
        <w:t>本单位对上述声明的真实性负责。如有虚假，将依法承担相应责任。</w:t>
      </w:r>
    </w:p>
    <w:p w14:paraId="7A2748C1">
      <w:pPr>
        <w:pStyle w:val="15"/>
        <w:rPr>
          <w:highlight w:val="none"/>
        </w:rPr>
      </w:pPr>
    </w:p>
    <w:p w14:paraId="12D045BB">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6000" w:firstLineChars="25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供应商名称（盖章）：</w:t>
      </w:r>
    </w:p>
    <w:p w14:paraId="45F7F065">
      <w:pPr>
        <w:pStyle w:val="9"/>
        <w:keepNext w:val="0"/>
        <w:keepLines w:val="0"/>
        <w:pageBreakBefore w:val="0"/>
        <w:widowControl w:val="0"/>
        <w:tabs>
          <w:tab w:val="left" w:pos="432"/>
          <w:tab w:val="left" w:pos="864"/>
        </w:tabs>
        <w:kinsoku/>
        <w:wordWrap/>
        <w:overflowPunct/>
        <w:topLinePunct w:val="0"/>
        <w:autoSpaceDE w:val="0"/>
        <w:autoSpaceDN w:val="0"/>
        <w:bidi w:val="0"/>
        <w:adjustRightInd/>
        <w:snapToGrid/>
        <w:spacing w:before="0" w:line="360" w:lineRule="auto"/>
        <w:ind w:left="0" w:right="0" w:firstLine="480" w:firstLineChars="200"/>
        <w:jc w:val="center"/>
        <w:textAlignment w:val="auto"/>
        <w:rPr>
          <w:rFonts w:hint="default"/>
          <w:highlight w:val="none"/>
          <w:lang w:val="en-US"/>
        </w:rPr>
        <w:sectPr>
          <w:pgSz w:w="11900" w:h="16840"/>
          <w:pgMar w:top="1463" w:right="1259" w:bottom="1463" w:left="1259" w:header="0" w:footer="13" w:gutter="0"/>
          <w:pgNumType w:fmt="decimal"/>
          <w:cols w:space="720" w:num="1"/>
        </w:sectPr>
      </w:pPr>
      <w:r>
        <w:rPr>
          <w:rFonts w:hint="eastAsia" w:cs="宋体"/>
          <w:sz w:val="24"/>
          <w:szCs w:val="24"/>
          <w:highlight w:val="none"/>
          <w:lang w:val="en-US" w:eastAsia="zh-CN"/>
        </w:rPr>
        <w:t xml:space="preserve">                                    </w:t>
      </w:r>
      <w:r>
        <w:rPr>
          <w:rFonts w:hint="eastAsia" w:ascii="宋体" w:hAnsi="宋体" w:eastAsia="宋体" w:cs="宋体"/>
          <w:sz w:val="24"/>
          <w:szCs w:val="24"/>
          <w:highlight w:val="none"/>
        </w:rPr>
        <w:t>年</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cs="宋体"/>
          <w:sz w:val="24"/>
          <w:szCs w:val="24"/>
          <w:highlight w:val="none"/>
          <w:lang w:val="en-US" w:eastAsia="zh-CN"/>
        </w:rPr>
        <w:t xml:space="preserve">   日</w:t>
      </w:r>
    </w:p>
    <w:p w14:paraId="2044E354">
      <w:pPr>
        <w:pStyle w:val="4"/>
        <w:spacing w:before="64"/>
        <w:ind w:left="0" w:leftChars="0" w:firstLine="0" w:firstLineChars="0"/>
        <w:jc w:val="center"/>
        <w:rPr>
          <w:color w:val="auto"/>
          <w:sz w:val="28"/>
          <w:szCs w:val="28"/>
          <w:highlight w:val="none"/>
        </w:rPr>
      </w:pPr>
      <w:bookmarkStart w:id="360" w:name="_Toc18725"/>
      <w:bookmarkStart w:id="361" w:name="_Toc8547"/>
      <w:bookmarkStart w:id="362" w:name="_Toc21862"/>
      <w:bookmarkStart w:id="363" w:name="_Toc3915"/>
      <w:bookmarkStart w:id="364" w:name="_Toc5173"/>
      <w:r>
        <w:rPr>
          <w:color w:val="auto"/>
          <w:sz w:val="28"/>
          <w:szCs w:val="28"/>
          <w:highlight w:val="none"/>
        </w:rPr>
        <w:t>十六、主要商务要求承诺书</w:t>
      </w:r>
      <w:bookmarkEnd w:id="360"/>
      <w:bookmarkEnd w:id="361"/>
      <w:bookmarkEnd w:id="362"/>
      <w:bookmarkEnd w:id="363"/>
      <w:bookmarkEnd w:id="364"/>
    </w:p>
    <w:p w14:paraId="74D75D8A">
      <w:pPr>
        <w:pStyle w:val="9"/>
        <w:tabs>
          <w:tab w:val="left" w:pos="3562"/>
          <w:tab w:val="left" w:pos="6707"/>
        </w:tabs>
        <w:spacing w:before="74" w:line="273" w:lineRule="auto"/>
        <w:ind w:left="106" w:right="269" w:firstLine="384"/>
        <w:rPr>
          <w:color w:val="auto"/>
          <w:sz w:val="24"/>
          <w:szCs w:val="24"/>
          <w:highlight w:val="none"/>
        </w:rPr>
      </w:pPr>
    </w:p>
    <w:p w14:paraId="3072639C">
      <w:pPr>
        <w:pStyle w:val="9"/>
        <w:tabs>
          <w:tab w:val="left" w:pos="3562"/>
          <w:tab w:val="left" w:pos="6707"/>
        </w:tabs>
        <w:spacing w:before="74" w:line="273" w:lineRule="auto"/>
        <w:ind w:left="106" w:right="269" w:firstLine="384"/>
        <w:rPr>
          <w:color w:val="auto"/>
          <w:sz w:val="24"/>
          <w:szCs w:val="24"/>
          <w:highlight w:val="none"/>
        </w:rPr>
      </w:pPr>
      <w:r>
        <w:rPr>
          <w:color w:val="auto"/>
          <w:sz w:val="24"/>
          <w:szCs w:val="24"/>
          <w:highlight w:val="none"/>
        </w:rPr>
        <w:t>我公司承诺可以完全满足</w:t>
      </w:r>
      <w:r>
        <w:rPr>
          <w:rFonts w:ascii="Times New Roman" w:eastAsia="Times New Roman"/>
          <w:color w:val="auto"/>
          <w:sz w:val="24"/>
          <w:szCs w:val="24"/>
          <w:highlight w:val="none"/>
          <w:u w:val="single"/>
        </w:rPr>
        <w:tab/>
      </w:r>
      <w:r>
        <w:rPr>
          <w:rFonts w:hint="eastAsia" w:ascii="Meiryo" w:eastAsia="Meiryo"/>
          <w:color w:val="auto"/>
          <w:spacing w:val="-3"/>
          <w:sz w:val="24"/>
          <w:szCs w:val="24"/>
          <w:highlight w:val="none"/>
        </w:rPr>
        <w:t>(</w:t>
      </w:r>
      <w:r>
        <w:rPr>
          <w:color w:val="auto"/>
          <w:sz w:val="24"/>
          <w:szCs w:val="24"/>
          <w:highlight w:val="none"/>
        </w:rPr>
        <w:t>项目名称），项目编号：</w:t>
      </w:r>
      <w:r>
        <w:rPr>
          <w:rFonts w:ascii="Times New Roman" w:eastAsia="Times New Roman"/>
          <w:color w:val="auto"/>
          <w:sz w:val="24"/>
          <w:szCs w:val="24"/>
          <w:highlight w:val="none"/>
          <w:u w:val="single"/>
        </w:rPr>
        <w:tab/>
      </w:r>
      <w:r>
        <w:rPr>
          <w:color w:val="auto"/>
          <w:sz w:val="24"/>
          <w:szCs w:val="24"/>
          <w:highlight w:val="none"/>
        </w:rPr>
        <w:t>磋商文件的所有主要商务条款要求，包括标</w:t>
      </w:r>
      <w:r>
        <w:rPr>
          <w:color w:val="auto"/>
          <w:spacing w:val="-18"/>
          <w:sz w:val="24"/>
          <w:szCs w:val="24"/>
          <w:highlight w:val="none"/>
        </w:rPr>
        <w:t>的</w:t>
      </w:r>
      <w:r>
        <w:rPr>
          <w:color w:val="auto"/>
          <w:sz w:val="24"/>
          <w:szCs w:val="24"/>
          <w:highlight w:val="none"/>
        </w:rPr>
        <w:t>提供的时间、标的提供的地点、付款方式、验收要求、履约保证金等。若有不符合或未按承诺履行的，承担相应法律后果。</w:t>
      </w:r>
    </w:p>
    <w:p w14:paraId="68439481">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sz w:val="24"/>
          <w:szCs w:val="24"/>
          <w:highlight w:val="none"/>
        </w:rPr>
      </w:pPr>
      <w:bookmarkStart w:id="365" w:name="_Toc31572"/>
      <w:r>
        <w:rPr>
          <w:rFonts w:hint="eastAsia" w:ascii="宋体" w:hAnsi="宋体" w:eastAsia="宋体" w:cs="宋体"/>
          <w:sz w:val="24"/>
          <w:szCs w:val="24"/>
          <w:highlight w:val="none"/>
        </w:rPr>
        <w:t>如有优于磋商文件主要商务要求的请在此承诺书中说明。</w:t>
      </w:r>
    </w:p>
    <w:p w14:paraId="5E2231FD">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具体优于内容 （如标的提供的时间、地点，质保期等） 。</w:t>
      </w:r>
    </w:p>
    <w:p w14:paraId="0F074EE6">
      <w:pPr>
        <w:pStyle w:val="9"/>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特此承诺</w:t>
      </w:r>
    </w:p>
    <w:p w14:paraId="77F23756">
      <w:pPr>
        <w:pStyle w:val="9"/>
        <w:keepNext w:val="0"/>
        <w:keepLines w:val="0"/>
        <w:pageBreakBefore w:val="0"/>
        <w:widowControl w:val="0"/>
        <w:kinsoku/>
        <w:wordWrap/>
        <w:overflowPunct/>
        <w:topLinePunct w:val="0"/>
        <w:autoSpaceDE w:val="0"/>
        <w:autoSpaceDN w:val="0"/>
        <w:bidi w:val="0"/>
        <w:adjustRightInd/>
        <w:snapToGrid/>
        <w:spacing w:before="0" w:line="360" w:lineRule="auto"/>
        <w:ind w:right="0" w:firstLine="5280" w:firstLineChars="2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供应商名称（盖章）：</w:t>
      </w:r>
    </w:p>
    <w:p w14:paraId="0BF26428">
      <w:pPr>
        <w:pStyle w:val="9"/>
        <w:keepNext w:val="0"/>
        <w:keepLines w:val="0"/>
        <w:pageBreakBefore w:val="0"/>
        <w:widowControl w:val="0"/>
        <w:tabs>
          <w:tab w:val="left" w:pos="432"/>
          <w:tab w:val="left" w:pos="864"/>
        </w:tabs>
        <w:kinsoku/>
        <w:wordWrap/>
        <w:overflowPunct/>
        <w:topLinePunct w:val="0"/>
        <w:autoSpaceDE w:val="0"/>
        <w:autoSpaceDN w:val="0"/>
        <w:bidi w:val="0"/>
        <w:adjustRightInd/>
        <w:snapToGrid/>
        <w:spacing w:before="0" w:line="360" w:lineRule="auto"/>
        <w:ind w:left="0" w:right="0" w:firstLine="480" w:firstLineChars="200"/>
        <w:jc w:val="center"/>
        <w:textAlignment w:val="auto"/>
        <w:rPr>
          <w:rFonts w:hint="eastAsia" w:ascii="宋体" w:hAnsi="宋体" w:eastAsia="宋体" w:cs="宋体"/>
          <w:sz w:val="24"/>
          <w:szCs w:val="24"/>
          <w:highlight w:val="none"/>
        </w:rPr>
      </w:pPr>
      <w:r>
        <w:rPr>
          <w:rFonts w:hint="eastAsia" w:cs="宋体"/>
          <w:sz w:val="24"/>
          <w:szCs w:val="24"/>
          <w:highlight w:val="none"/>
          <w:lang w:val="en-US" w:eastAsia="zh-CN"/>
        </w:rPr>
        <w:t xml:space="preserve">                                </w:t>
      </w:r>
      <w:r>
        <w:rPr>
          <w:rFonts w:hint="eastAsia" w:ascii="宋体" w:hAnsi="宋体" w:eastAsia="宋体" w:cs="宋体"/>
          <w:sz w:val="24"/>
          <w:szCs w:val="24"/>
          <w:highlight w:val="none"/>
        </w:rPr>
        <w:t>年</w:t>
      </w:r>
      <w:r>
        <w:rPr>
          <w:rFonts w:hint="eastAsia"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rPr>
        <w:tab/>
      </w:r>
      <w:r>
        <w:rPr>
          <w:rFonts w:hint="eastAsia" w:ascii="宋体" w:hAnsi="宋体" w:eastAsia="宋体" w:cs="宋体"/>
          <w:sz w:val="24"/>
          <w:szCs w:val="24"/>
          <w:highlight w:val="none"/>
        </w:rPr>
        <w:t>日</w:t>
      </w:r>
    </w:p>
    <w:p w14:paraId="2332BADD">
      <w:pPr>
        <w:spacing w:after="0"/>
        <w:jc w:val="right"/>
        <w:rPr>
          <w:highlight w:val="none"/>
        </w:rPr>
        <w:sectPr>
          <w:pgSz w:w="11900" w:h="16840"/>
          <w:pgMar w:top="1463" w:right="1259" w:bottom="1463" w:left="1259" w:header="0" w:footer="13" w:gutter="0"/>
          <w:pgNumType w:fmt="decimal"/>
          <w:cols w:space="720" w:num="1"/>
        </w:sectPr>
      </w:pPr>
    </w:p>
    <w:p w14:paraId="06347AF9">
      <w:pPr>
        <w:pStyle w:val="4"/>
        <w:spacing w:before="64"/>
        <w:ind w:left="295" w:right="362"/>
        <w:jc w:val="center"/>
        <w:rPr>
          <w:color w:val="auto"/>
          <w:sz w:val="28"/>
          <w:szCs w:val="28"/>
          <w:highlight w:val="none"/>
        </w:rPr>
      </w:pPr>
      <w:bookmarkStart w:id="366" w:name="_Toc9338"/>
      <w:bookmarkStart w:id="367" w:name="_Toc23531"/>
      <w:bookmarkStart w:id="368" w:name="_Toc10443"/>
      <w:bookmarkStart w:id="369" w:name="_Toc15113"/>
      <w:r>
        <w:rPr>
          <w:color w:val="auto"/>
          <w:sz w:val="28"/>
          <w:szCs w:val="28"/>
          <w:highlight w:val="none"/>
        </w:rPr>
        <w:t>十七、技术偏离表</w:t>
      </w:r>
      <w:bookmarkEnd w:id="365"/>
      <w:bookmarkEnd w:id="366"/>
      <w:bookmarkEnd w:id="367"/>
      <w:bookmarkEnd w:id="368"/>
      <w:bookmarkEnd w:id="369"/>
    </w:p>
    <w:p w14:paraId="3BBFDA34">
      <w:pPr>
        <w:pStyle w:val="9"/>
        <w:spacing w:before="2"/>
        <w:ind w:left="0"/>
        <w:rPr>
          <w:b/>
          <w:color w:val="auto"/>
          <w:sz w:val="13"/>
          <w:highlight w:val="none"/>
        </w:rPr>
      </w:pPr>
    </w:p>
    <w:tbl>
      <w:tblPr>
        <w:tblStyle w:val="19"/>
        <w:tblW w:w="9977" w:type="dxa"/>
        <w:tblInd w:w="12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35"/>
        <w:gridCol w:w="1623"/>
        <w:gridCol w:w="964"/>
        <w:gridCol w:w="1295"/>
        <w:gridCol w:w="1907"/>
        <w:gridCol w:w="1907"/>
        <w:gridCol w:w="1146"/>
      </w:tblGrid>
      <w:tr w14:paraId="30C6A6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1" w:hRule="atLeast"/>
        </w:trPr>
        <w:tc>
          <w:tcPr>
            <w:tcW w:w="1135" w:type="dxa"/>
          </w:tcPr>
          <w:p w14:paraId="3E7D8099">
            <w:pPr>
              <w:pStyle w:val="28"/>
              <w:spacing w:before="60"/>
              <w:ind w:left="94"/>
              <w:rPr>
                <w:b/>
                <w:color w:val="auto"/>
                <w:sz w:val="24"/>
                <w:szCs w:val="24"/>
                <w:highlight w:val="none"/>
              </w:rPr>
            </w:pPr>
            <w:r>
              <w:rPr>
                <w:b/>
                <w:color w:val="auto"/>
                <w:sz w:val="24"/>
                <w:szCs w:val="24"/>
                <w:highlight w:val="none"/>
              </w:rPr>
              <w:t>序号</w:t>
            </w:r>
          </w:p>
        </w:tc>
        <w:tc>
          <w:tcPr>
            <w:tcW w:w="1623" w:type="dxa"/>
          </w:tcPr>
          <w:p w14:paraId="752E2EBC">
            <w:pPr>
              <w:pStyle w:val="28"/>
              <w:spacing w:before="60"/>
              <w:ind w:left="94"/>
              <w:rPr>
                <w:b/>
                <w:color w:val="auto"/>
                <w:sz w:val="24"/>
                <w:szCs w:val="24"/>
                <w:highlight w:val="none"/>
              </w:rPr>
            </w:pPr>
            <w:r>
              <w:rPr>
                <w:b/>
                <w:color w:val="auto"/>
                <w:sz w:val="24"/>
                <w:szCs w:val="24"/>
                <w:highlight w:val="none"/>
              </w:rPr>
              <w:t>标的名称</w:t>
            </w:r>
          </w:p>
        </w:tc>
        <w:tc>
          <w:tcPr>
            <w:tcW w:w="2259" w:type="dxa"/>
            <w:gridSpan w:val="2"/>
          </w:tcPr>
          <w:p w14:paraId="67801300">
            <w:pPr>
              <w:pStyle w:val="28"/>
              <w:spacing w:before="60"/>
              <w:ind w:left="95"/>
              <w:rPr>
                <w:b/>
                <w:color w:val="auto"/>
                <w:sz w:val="24"/>
                <w:szCs w:val="24"/>
                <w:highlight w:val="none"/>
              </w:rPr>
            </w:pPr>
            <w:r>
              <w:rPr>
                <w:b/>
                <w:color w:val="auto"/>
                <w:sz w:val="24"/>
                <w:szCs w:val="24"/>
                <w:highlight w:val="none"/>
              </w:rPr>
              <w:t>技术要求</w:t>
            </w:r>
          </w:p>
        </w:tc>
        <w:tc>
          <w:tcPr>
            <w:tcW w:w="1907" w:type="dxa"/>
          </w:tcPr>
          <w:p w14:paraId="31C31C82">
            <w:pPr>
              <w:pStyle w:val="28"/>
              <w:spacing w:before="60"/>
              <w:ind w:left="96"/>
              <w:rPr>
                <w:b/>
                <w:color w:val="auto"/>
                <w:sz w:val="24"/>
                <w:szCs w:val="24"/>
                <w:highlight w:val="none"/>
              </w:rPr>
            </w:pPr>
            <w:r>
              <w:rPr>
                <w:b/>
                <w:color w:val="auto"/>
                <w:sz w:val="24"/>
                <w:szCs w:val="24"/>
                <w:highlight w:val="none"/>
              </w:rPr>
              <w:t>响应内容</w:t>
            </w:r>
          </w:p>
        </w:tc>
        <w:tc>
          <w:tcPr>
            <w:tcW w:w="1907" w:type="dxa"/>
          </w:tcPr>
          <w:p w14:paraId="702A74F1">
            <w:pPr>
              <w:pStyle w:val="28"/>
              <w:spacing w:before="60"/>
              <w:ind w:left="96"/>
              <w:rPr>
                <w:b/>
                <w:color w:val="auto"/>
                <w:sz w:val="24"/>
                <w:szCs w:val="24"/>
                <w:highlight w:val="none"/>
              </w:rPr>
            </w:pPr>
            <w:r>
              <w:rPr>
                <w:b/>
                <w:color w:val="auto"/>
                <w:sz w:val="24"/>
                <w:szCs w:val="24"/>
                <w:highlight w:val="none"/>
              </w:rPr>
              <w:t>偏离程度</w:t>
            </w:r>
          </w:p>
        </w:tc>
        <w:tc>
          <w:tcPr>
            <w:tcW w:w="1146" w:type="dxa"/>
          </w:tcPr>
          <w:p w14:paraId="0ECD541B">
            <w:pPr>
              <w:pStyle w:val="28"/>
              <w:spacing w:before="60"/>
              <w:ind w:left="97"/>
              <w:rPr>
                <w:b/>
                <w:color w:val="auto"/>
                <w:sz w:val="24"/>
                <w:szCs w:val="24"/>
                <w:highlight w:val="none"/>
              </w:rPr>
            </w:pPr>
            <w:r>
              <w:rPr>
                <w:b/>
                <w:color w:val="auto"/>
                <w:sz w:val="24"/>
                <w:szCs w:val="24"/>
                <w:highlight w:val="none"/>
              </w:rPr>
              <w:t>备注</w:t>
            </w:r>
          </w:p>
        </w:tc>
      </w:tr>
      <w:tr w14:paraId="362EA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 w:hRule="atLeast"/>
        </w:trPr>
        <w:tc>
          <w:tcPr>
            <w:tcW w:w="1135" w:type="dxa"/>
            <w:vMerge w:val="restart"/>
          </w:tcPr>
          <w:p w14:paraId="7723F221">
            <w:pPr>
              <w:pStyle w:val="28"/>
              <w:spacing w:before="10"/>
              <w:rPr>
                <w:b/>
                <w:color w:val="auto"/>
                <w:sz w:val="24"/>
                <w:szCs w:val="24"/>
                <w:highlight w:val="none"/>
              </w:rPr>
            </w:pPr>
          </w:p>
          <w:p w14:paraId="5DF03B0F">
            <w:pPr>
              <w:pStyle w:val="28"/>
              <w:ind w:left="100"/>
              <w:rPr>
                <w:rFonts w:ascii="Meiryo"/>
                <w:color w:val="auto"/>
                <w:sz w:val="24"/>
                <w:szCs w:val="24"/>
                <w:highlight w:val="none"/>
              </w:rPr>
            </w:pPr>
            <w:r>
              <w:rPr>
                <w:rFonts w:ascii="Meiryo"/>
                <w:color w:val="auto"/>
                <w:w w:val="103"/>
                <w:sz w:val="24"/>
                <w:szCs w:val="24"/>
                <w:highlight w:val="none"/>
              </w:rPr>
              <w:t>1</w:t>
            </w:r>
          </w:p>
        </w:tc>
        <w:tc>
          <w:tcPr>
            <w:tcW w:w="1623" w:type="dxa"/>
            <w:vMerge w:val="restart"/>
          </w:tcPr>
          <w:p w14:paraId="2474A4E2">
            <w:pPr>
              <w:pStyle w:val="28"/>
              <w:rPr>
                <w:rFonts w:ascii="Times New Roman"/>
                <w:color w:val="auto"/>
                <w:sz w:val="24"/>
                <w:szCs w:val="24"/>
                <w:highlight w:val="none"/>
              </w:rPr>
            </w:pPr>
          </w:p>
        </w:tc>
        <w:tc>
          <w:tcPr>
            <w:tcW w:w="964" w:type="dxa"/>
          </w:tcPr>
          <w:p w14:paraId="4D17C5D8">
            <w:pPr>
              <w:pStyle w:val="28"/>
              <w:spacing w:before="24" w:line="337" w:lineRule="exact"/>
              <w:ind w:left="101"/>
              <w:rPr>
                <w:rFonts w:ascii="Meiryo" w:hAnsi="Meiryo"/>
                <w:color w:val="auto"/>
                <w:sz w:val="24"/>
                <w:szCs w:val="24"/>
                <w:highlight w:val="none"/>
              </w:rPr>
            </w:pPr>
            <w:r>
              <w:rPr>
                <w:rFonts w:ascii="Meiryo" w:hAnsi="Meiryo"/>
                <w:color w:val="auto"/>
                <w:w w:val="90"/>
                <w:sz w:val="24"/>
                <w:szCs w:val="24"/>
                <w:highlight w:val="none"/>
              </w:rPr>
              <w:t>★</w:t>
            </w:r>
          </w:p>
        </w:tc>
        <w:tc>
          <w:tcPr>
            <w:tcW w:w="1295" w:type="dxa"/>
          </w:tcPr>
          <w:p w14:paraId="7F83EF6E">
            <w:pPr>
              <w:pStyle w:val="28"/>
              <w:spacing w:before="24" w:line="337" w:lineRule="exact"/>
              <w:ind w:left="101"/>
              <w:rPr>
                <w:rFonts w:ascii="Meiryo" w:hAnsi="Meiryo"/>
                <w:color w:val="auto"/>
                <w:sz w:val="24"/>
                <w:szCs w:val="24"/>
                <w:highlight w:val="none"/>
              </w:rPr>
            </w:pPr>
            <w:r>
              <w:rPr>
                <w:rFonts w:ascii="Meiryo" w:hAnsi="Meiryo"/>
                <w:color w:val="auto"/>
                <w:sz w:val="24"/>
                <w:szCs w:val="24"/>
                <w:highlight w:val="none"/>
              </w:rPr>
              <w:t>1.1…</w:t>
            </w:r>
          </w:p>
        </w:tc>
        <w:tc>
          <w:tcPr>
            <w:tcW w:w="1907" w:type="dxa"/>
          </w:tcPr>
          <w:p w14:paraId="6966F2DE">
            <w:pPr>
              <w:pStyle w:val="28"/>
              <w:rPr>
                <w:rFonts w:ascii="Times New Roman"/>
                <w:color w:val="auto"/>
                <w:sz w:val="24"/>
                <w:szCs w:val="24"/>
                <w:highlight w:val="none"/>
              </w:rPr>
            </w:pPr>
          </w:p>
        </w:tc>
        <w:tc>
          <w:tcPr>
            <w:tcW w:w="1907" w:type="dxa"/>
          </w:tcPr>
          <w:p w14:paraId="34A6A74F">
            <w:pPr>
              <w:pStyle w:val="28"/>
              <w:rPr>
                <w:rFonts w:ascii="Times New Roman"/>
                <w:color w:val="auto"/>
                <w:sz w:val="24"/>
                <w:szCs w:val="24"/>
                <w:highlight w:val="none"/>
              </w:rPr>
            </w:pPr>
          </w:p>
        </w:tc>
        <w:tc>
          <w:tcPr>
            <w:tcW w:w="1146" w:type="dxa"/>
          </w:tcPr>
          <w:p w14:paraId="3AFBBF6B">
            <w:pPr>
              <w:pStyle w:val="28"/>
              <w:rPr>
                <w:rFonts w:ascii="Times New Roman"/>
                <w:color w:val="auto"/>
                <w:sz w:val="24"/>
                <w:szCs w:val="24"/>
                <w:highlight w:val="none"/>
              </w:rPr>
            </w:pPr>
          </w:p>
        </w:tc>
      </w:tr>
      <w:tr w14:paraId="7379AB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 w:hRule="atLeast"/>
        </w:trPr>
        <w:tc>
          <w:tcPr>
            <w:tcW w:w="1135" w:type="dxa"/>
            <w:vMerge w:val="continue"/>
            <w:tcBorders>
              <w:top w:val="nil"/>
            </w:tcBorders>
          </w:tcPr>
          <w:p w14:paraId="4837E1FB">
            <w:pPr>
              <w:rPr>
                <w:color w:val="auto"/>
                <w:sz w:val="24"/>
                <w:szCs w:val="24"/>
                <w:highlight w:val="none"/>
              </w:rPr>
            </w:pPr>
          </w:p>
        </w:tc>
        <w:tc>
          <w:tcPr>
            <w:tcW w:w="1623" w:type="dxa"/>
            <w:vMerge w:val="continue"/>
            <w:tcBorders>
              <w:top w:val="nil"/>
            </w:tcBorders>
          </w:tcPr>
          <w:p w14:paraId="6A1C6377">
            <w:pPr>
              <w:rPr>
                <w:color w:val="auto"/>
                <w:sz w:val="24"/>
                <w:szCs w:val="24"/>
                <w:highlight w:val="none"/>
              </w:rPr>
            </w:pPr>
          </w:p>
        </w:tc>
        <w:tc>
          <w:tcPr>
            <w:tcW w:w="964" w:type="dxa"/>
          </w:tcPr>
          <w:p w14:paraId="60BA4AC7">
            <w:pPr>
              <w:pStyle w:val="28"/>
              <w:rPr>
                <w:rFonts w:ascii="Times New Roman"/>
                <w:color w:val="auto"/>
                <w:sz w:val="24"/>
                <w:szCs w:val="24"/>
                <w:highlight w:val="none"/>
              </w:rPr>
            </w:pPr>
          </w:p>
        </w:tc>
        <w:tc>
          <w:tcPr>
            <w:tcW w:w="1295" w:type="dxa"/>
          </w:tcPr>
          <w:p w14:paraId="2706DD24">
            <w:pPr>
              <w:pStyle w:val="28"/>
              <w:spacing w:before="24" w:line="337" w:lineRule="exact"/>
              <w:ind w:left="101"/>
              <w:rPr>
                <w:rFonts w:ascii="Meiryo" w:hAnsi="Meiryo"/>
                <w:color w:val="auto"/>
                <w:sz w:val="24"/>
                <w:szCs w:val="24"/>
                <w:highlight w:val="none"/>
              </w:rPr>
            </w:pPr>
            <w:r>
              <w:rPr>
                <w:rFonts w:ascii="Meiryo" w:hAnsi="Meiryo"/>
                <w:color w:val="auto"/>
                <w:sz w:val="24"/>
                <w:szCs w:val="24"/>
                <w:highlight w:val="none"/>
              </w:rPr>
              <w:t>1.2…</w:t>
            </w:r>
          </w:p>
        </w:tc>
        <w:tc>
          <w:tcPr>
            <w:tcW w:w="1907" w:type="dxa"/>
          </w:tcPr>
          <w:p w14:paraId="70D92E0C">
            <w:pPr>
              <w:pStyle w:val="28"/>
              <w:rPr>
                <w:rFonts w:ascii="Times New Roman"/>
                <w:color w:val="auto"/>
                <w:sz w:val="24"/>
                <w:szCs w:val="24"/>
                <w:highlight w:val="none"/>
              </w:rPr>
            </w:pPr>
          </w:p>
        </w:tc>
        <w:tc>
          <w:tcPr>
            <w:tcW w:w="1907" w:type="dxa"/>
          </w:tcPr>
          <w:p w14:paraId="3A616D00">
            <w:pPr>
              <w:pStyle w:val="28"/>
              <w:rPr>
                <w:rFonts w:ascii="Times New Roman"/>
                <w:color w:val="auto"/>
                <w:sz w:val="24"/>
                <w:szCs w:val="24"/>
                <w:highlight w:val="none"/>
              </w:rPr>
            </w:pPr>
          </w:p>
        </w:tc>
        <w:tc>
          <w:tcPr>
            <w:tcW w:w="1146" w:type="dxa"/>
          </w:tcPr>
          <w:p w14:paraId="54EC26A5">
            <w:pPr>
              <w:pStyle w:val="28"/>
              <w:rPr>
                <w:rFonts w:ascii="Times New Roman"/>
                <w:color w:val="auto"/>
                <w:sz w:val="24"/>
                <w:szCs w:val="24"/>
                <w:highlight w:val="none"/>
              </w:rPr>
            </w:pPr>
          </w:p>
        </w:tc>
      </w:tr>
      <w:tr w14:paraId="0984B7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3" w:hRule="atLeast"/>
        </w:trPr>
        <w:tc>
          <w:tcPr>
            <w:tcW w:w="1135" w:type="dxa"/>
            <w:vMerge w:val="continue"/>
            <w:tcBorders>
              <w:top w:val="nil"/>
            </w:tcBorders>
          </w:tcPr>
          <w:p w14:paraId="32549592">
            <w:pPr>
              <w:rPr>
                <w:color w:val="auto"/>
                <w:sz w:val="24"/>
                <w:szCs w:val="24"/>
                <w:highlight w:val="none"/>
              </w:rPr>
            </w:pPr>
          </w:p>
        </w:tc>
        <w:tc>
          <w:tcPr>
            <w:tcW w:w="1623" w:type="dxa"/>
            <w:vMerge w:val="continue"/>
            <w:tcBorders>
              <w:top w:val="nil"/>
            </w:tcBorders>
          </w:tcPr>
          <w:p w14:paraId="383AC53A">
            <w:pPr>
              <w:rPr>
                <w:color w:val="auto"/>
                <w:sz w:val="24"/>
                <w:szCs w:val="24"/>
                <w:highlight w:val="none"/>
              </w:rPr>
            </w:pPr>
          </w:p>
        </w:tc>
        <w:tc>
          <w:tcPr>
            <w:tcW w:w="964" w:type="dxa"/>
          </w:tcPr>
          <w:p w14:paraId="3A7C3178">
            <w:pPr>
              <w:pStyle w:val="28"/>
              <w:rPr>
                <w:rFonts w:ascii="Times New Roman"/>
                <w:color w:val="auto"/>
                <w:sz w:val="24"/>
                <w:szCs w:val="24"/>
                <w:highlight w:val="none"/>
              </w:rPr>
            </w:pPr>
          </w:p>
        </w:tc>
        <w:tc>
          <w:tcPr>
            <w:tcW w:w="1295" w:type="dxa"/>
          </w:tcPr>
          <w:p w14:paraId="03E5447F">
            <w:pPr>
              <w:pStyle w:val="28"/>
              <w:spacing w:before="24" w:line="337" w:lineRule="exact"/>
              <w:ind w:left="101"/>
              <w:rPr>
                <w:rFonts w:ascii="Meiryo" w:hAnsi="Meiryo"/>
                <w:color w:val="auto"/>
                <w:sz w:val="24"/>
                <w:szCs w:val="24"/>
                <w:highlight w:val="none"/>
              </w:rPr>
            </w:pPr>
            <w:r>
              <w:rPr>
                <w:rFonts w:ascii="Meiryo" w:hAnsi="Meiryo"/>
                <w:color w:val="auto"/>
                <w:w w:val="101"/>
                <w:sz w:val="24"/>
                <w:szCs w:val="24"/>
                <w:highlight w:val="none"/>
              </w:rPr>
              <w:t>…</w:t>
            </w:r>
          </w:p>
        </w:tc>
        <w:tc>
          <w:tcPr>
            <w:tcW w:w="1907" w:type="dxa"/>
          </w:tcPr>
          <w:p w14:paraId="5390D322">
            <w:pPr>
              <w:pStyle w:val="28"/>
              <w:rPr>
                <w:rFonts w:ascii="Times New Roman"/>
                <w:color w:val="auto"/>
                <w:sz w:val="24"/>
                <w:szCs w:val="24"/>
                <w:highlight w:val="none"/>
              </w:rPr>
            </w:pPr>
          </w:p>
        </w:tc>
        <w:tc>
          <w:tcPr>
            <w:tcW w:w="1907" w:type="dxa"/>
          </w:tcPr>
          <w:p w14:paraId="42540C1B">
            <w:pPr>
              <w:pStyle w:val="28"/>
              <w:rPr>
                <w:rFonts w:ascii="Times New Roman"/>
                <w:color w:val="auto"/>
                <w:sz w:val="24"/>
                <w:szCs w:val="24"/>
                <w:highlight w:val="none"/>
              </w:rPr>
            </w:pPr>
          </w:p>
        </w:tc>
        <w:tc>
          <w:tcPr>
            <w:tcW w:w="1146" w:type="dxa"/>
          </w:tcPr>
          <w:p w14:paraId="64CDF00E">
            <w:pPr>
              <w:pStyle w:val="28"/>
              <w:rPr>
                <w:rFonts w:ascii="Times New Roman"/>
                <w:color w:val="auto"/>
                <w:sz w:val="24"/>
                <w:szCs w:val="24"/>
                <w:highlight w:val="none"/>
              </w:rPr>
            </w:pPr>
          </w:p>
        </w:tc>
      </w:tr>
      <w:tr w14:paraId="27EF35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5" w:hRule="atLeast"/>
        </w:trPr>
        <w:tc>
          <w:tcPr>
            <w:tcW w:w="1135" w:type="dxa"/>
            <w:vMerge w:val="restart"/>
            <w:tcBorders>
              <w:bottom w:val="single" w:color="000000" w:sz="12" w:space="0"/>
            </w:tcBorders>
          </w:tcPr>
          <w:p w14:paraId="02CB50AC">
            <w:pPr>
              <w:pStyle w:val="28"/>
              <w:spacing w:before="10"/>
              <w:rPr>
                <w:b/>
                <w:color w:val="auto"/>
                <w:sz w:val="24"/>
                <w:szCs w:val="24"/>
                <w:highlight w:val="none"/>
              </w:rPr>
            </w:pPr>
          </w:p>
          <w:p w14:paraId="5C97D191">
            <w:pPr>
              <w:pStyle w:val="28"/>
              <w:ind w:left="100"/>
              <w:rPr>
                <w:rFonts w:ascii="Meiryo"/>
                <w:color w:val="auto"/>
                <w:sz w:val="24"/>
                <w:szCs w:val="24"/>
                <w:highlight w:val="none"/>
              </w:rPr>
            </w:pPr>
            <w:r>
              <w:rPr>
                <w:rFonts w:ascii="Meiryo"/>
                <w:color w:val="auto"/>
                <w:w w:val="103"/>
                <w:sz w:val="24"/>
                <w:szCs w:val="24"/>
                <w:highlight w:val="none"/>
              </w:rPr>
              <w:t>2</w:t>
            </w:r>
          </w:p>
        </w:tc>
        <w:tc>
          <w:tcPr>
            <w:tcW w:w="1623" w:type="dxa"/>
            <w:vMerge w:val="restart"/>
            <w:tcBorders>
              <w:bottom w:val="single" w:color="000000" w:sz="12" w:space="0"/>
            </w:tcBorders>
          </w:tcPr>
          <w:p w14:paraId="39303475">
            <w:pPr>
              <w:pStyle w:val="28"/>
              <w:rPr>
                <w:rFonts w:ascii="Times New Roman"/>
                <w:color w:val="auto"/>
                <w:sz w:val="24"/>
                <w:szCs w:val="24"/>
                <w:highlight w:val="none"/>
              </w:rPr>
            </w:pPr>
          </w:p>
        </w:tc>
        <w:tc>
          <w:tcPr>
            <w:tcW w:w="964" w:type="dxa"/>
          </w:tcPr>
          <w:p w14:paraId="4B6B5C69">
            <w:pPr>
              <w:pStyle w:val="28"/>
              <w:spacing w:before="24" w:line="329" w:lineRule="exact"/>
              <w:ind w:left="101"/>
              <w:rPr>
                <w:rFonts w:ascii="Meiryo" w:hAnsi="Meiryo"/>
                <w:color w:val="auto"/>
                <w:sz w:val="24"/>
                <w:szCs w:val="24"/>
                <w:highlight w:val="none"/>
              </w:rPr>
            </w:pPr>
            <w:r>
              <w:rPr>
                <w:rFonts w:ascii="Meiryo" w:hAnsi="Meiryo"/>
                <w:color w:val="auto"/>
                <w:w w:val="90"/>
                <w:sz w:val="24"/>
                <w:szCs w:val="24"/>
                <w:highlight w:val="none"/>
              </w:rPr>
              <w:t>★</w:t>
            </w:r>
          </w:p>
        </w:tc>
        <w:tc>
          <w:tcPr>
            <w:tcW w:w="1295" w:type="dxa"/>
          </w:tcPr>
          <w:p w14:paraId="1158DB1A">
            <w:pPr>
              <w:pStyle w:val="28"/>
              <w:spacing w:before="24" w:line="329" w:lineRule="exact"/>
              <w:ind w:left="101"/>
              <w:rPr>
                <w:rFonts w:ascii="Meiryo" w:hAnsi="Meiryo"/>
                <w:color w:val="auto"/>
                <w:sz w:val="24"/>
                <w:szCs w:val="24"/>
                <w:highlight w:val="none"/>
              </w:rPr>
            </w:pPr>
            <w:r>
              <w:rPr>
                <w:rFonts w:ascii="Meiryo" w:hAnsi="Meiryo"/>
                <w:color w:val="auto"/>
                <w:sz w:val="24"/>
                <w:szCs w:val="24"/>
                <w:highlight w:val="none"/>
              </w:rPr>
              <w:t>2.1…</w:t>
            </w:r>
          </w:p>
        </w:tc>
        <w:tc>
          <w:tcPr>
            <w:tcW w:w="1907" w:type="dxa"/>
          </w:tcPr>
          <w:p w14:paraId="2EA9FC13">
            <w:pPr>
              <w:pStyle w:val="28"/>
              <w:rPr>
                <w:rFonts w:ascii="Times New Roman"/>
                <w:color w:val="auto"/>
                <w:sz w:val="24"/>
                <w:szCs w:val="24"/>
                <w:highlight w:val="none"/>
              </w:rPr>
            </w:pPr>
          </w:p>
        </w:tc>
        <w:tc>
          <w:tcPr>
            <w:tcW w:w="1907" w:type="dxa"/>
          </w:tcPr>
          <w:p w14:paraId="37AB353F">
            <w:pPr>
              <w:pStyle w:val="28"/>
              <w:rPr>
                <w:rFonts w:ascii="Times New Roman"/>
                <w:color w:val="auto"/>
                <w:sz w:val="24"/>
                <w:szCs w:val="24"/>
                <w:highlight w:val="none"/>
              </w:rPr>
            </w:pPr>
          </w:p>
        </w:tc>
        <w:tc>
          <w:tcPr>
            <w:tcW w:w="1146" w:type="dxa"/>
          </w:tcPr>
          <w:p w14:paraId="62A7441D">
            <w:pPr>
              <w:pStyle w:val="28"/>
              <w:rPr>
                <w:rFonts w:ascii="Times New Roman"/>
                <w:color w:val="auto"/>
                <w:sz w:val="24"/>
                <w:szCs w:val="24"/>
                <w:highlight w:val="none"/>
              </w:rPr>
            </w:pPr>
          </w:p>
        </w:tc>
      </w:tr>
      <w:tr w14:paraId="343951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6" w:hRule="atLeast"/>
        </w:trPr>
        <w:tc>
          <w:tcPr>
            <w:tcW w:w="1135" w:type="dxa"/>
            <w:vMerge w:val="continue"/>
            <w:tcBorders>
              <w:top w:val="nil"/>
              <w:bottom w:val="single" w:color="000000" w:sz="12" w:space="0"/>
            </w:tcBorders>
          </w:tcPr>
          <w:p w14:paraId="7948B5D2">
            <w:pPr>
              <w:rPr>
                <w:color w:val="auto"/>
                <w:sz w:val="24"/>
                <w:szCs w:val="24"/>
                <w:highlight w:val="none"/>
              </w:rPr>
            </w:pPr>
          </w:p>
        </w:tc>
        <w:tc>
          <w:tcPr>
            <w:tcW w:w="1623" w:type="dxa"/>
            <w:vMerge w:val="continue"/>
            <w:tcBorders>
              <w:top w:val="nil"/>
              <w:bottom w:val="single" w:color="000000" w:sz="12" w:space="0"/>
            </w:tcBorders>
          </w:tcPr>
          <w:p w14:paraId="0E64404D">
            <w:pPr>
              <w:rPr>
                <w:color w:val="auto"/>
                <w:sz w:val="24"/>
                <w:szCs w:val="24"/>
                <w:highlight w:val="none"/>
              </w:rPr>
            </w:pPr>
          </w:p>
        </w:tc>
        <w:tc>
          <w:tcPr>
            <w:tcW w:w="964" w:type="dxa"/>
          </w:tcPr>
          <w:p w14:paraId="1FC0AE17">
            <w:pPr>
              <w:pStyle w:val="28"/>
              <w:rPr>
                <w:rFonts w:ascii="Times New Roman"/>
                <w:color w:val="auto"/>
                <w:sz w:val="24"/>
                <w:szCs w:val="24"/>
                <w:highlight w:val="none"/>
              </w:rPr>
            </w:pPr>
          </w:p>
        </w:tc>
        <w:tc>
          <w:tcPr>
            <w:tcW w:w="1295" w:type="dxa"/>
          </w:tcPr>
          <w:p w14:paraId="5559E7AB">
            <w:pPr>
              <w:pStyle w:val="28"/>
              <w:spacing w:before="16" w:line="329" w:lineRule="exact"/>
              <w:ind w:left="101"/>
              <w:rPr>
                <w:rFonts w:ascii="Meiryo" w:hAnsi="Meiryo"/>
                <w:color w:val="auto"/>
                <w:sz w:val="24"/>
                <w:szCs w:val="24"/>
                <w:highlight w:val="none"/>
              </w:rPr>
            </w:pPr>
            <w:r>
              <w:rPr>
                <w:rFonts w:ascii="Meiryo" w:hAnsi="Meiryo"/>
                <w:color w:val="auto"/>
                <w:sz w:val="24"/>
                <w:szCs w:val="24"/>
                <w:highlight w:val="none"/>
              </w:rPr>
              <w:t>2.2…</w:t>
            </w:r>
          </w:p>
        </w:tc>
        <w:tc>
          <w:tcPr>
            <w:tcW w:w="1907" w:type="dxa"/>
          </w:tcPr>
          <w:p w14:paraId="2FCC8807">
            <w:pPr>
              <w:pStyle w:val="28"/>
              <w:rPr>
                <w:rFonts w:ascii="Times New Roman"/>
                <w:color w:val="auto"/>
                <w:sz w:val="24"/>
                <w:szCs w:val="24"/>
                <w:highlight w:val="none"/>
              </w:rPr>
            </w:pPr>
          </w:p>
        </w:tc>
        <w:tc>
          <w:tcPr>
            <w:tcW w:w="1907" w:type="dxa"/>
          </w:tcPr>
          <w:p w14:paraId="6EA4EA75">
            <w:pPr>
              <w:pStyle w:val="28"/>
              <w:rPr>
                <w:rFonts w:ascii="Times New Roman"/>
                <w:color w:val="auto"/>
                <w:sz w:val="24"/>
                <w:szCs w:val="24"/>
                <w:highlight w:val="none"/>
              </w:rPr>
            </w:pPr>
          </w:p>
        </w:tc>
        <w:tc>
          <w:tcPr>
            <w:tcW w:w="1146" w:type="dxa"/>
          </w:tcPr>
          <w:p w14:paraId="7C9A54D0">
            <w:pPr>
              <w:pStyle w:val="28"/>
              <w:rPr>
                <w:rFonts w:ascii="Times New Roman"/>
                <w:color w:val="auto"/>
                <w:sz w:val="24"/>
                <w:szCs w:val="24"/>
                <w:highlight w:val="none"/>
              </w:rPr>
            </w:pPr>
          </w:p>
        </w:tc>
      </w:tr>
      <w:tr w14:paraId="3DDFEE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8" w:hRule="atLeast"/>
        </w:trPr>
        <w:tc>
          <w:tcPr>
            <w:tcW w:w="1135" w:type="dxa"/>
            <w:vMerge w:val="continue"/>
            <w:tcBorders>
              <w:top w:val="nil"/>
              <w:bottom w:val="single" w:color="000000" w:sz="12" w:space="0"/>
            </w:tcBorders>
          </w:tcPr>
          <w:p w14:paraId="2AA018D7">
            <w:pPr>
              <w:rPr>
                <w:color w:val="auto"/>
                <w:sz w:val="24"/>
                <w:szCs w:val="24"/>
                <w:highlight w:val="none"/>
              </w:rPr>
            </w:pPr>
          </w:p>
        </w:tc>
        <w:tc>
          <w:tcPr>
            <w:tcW w:w="1623" w:type="dxa"/>
            <w:vMerge w:val="continue"/>
            <w:tcBorders>
              <w:top w:val="nil"/>
              <w:bottom w:val="single" w:color="000000" w:sz="12" w:space="0"/>
            </w:tcBorders>
          </w:tcPr>
          <w:p w14:paraId="0483A058">
            <w:pPr>
              <w:rPr>
                <w:color w:val="auto"/>
                <w:sz w:val="24"/>
                <w:szCs w:val="24"/>
                <w:highlight w:val="none"/>
              </w:rPr>
            </w:pPr>
          </w:p>
        </w:tc>
        <w:tc>
          <w:tcPr>
            <w:tcW w:w="964" w:type="dxa"/>
            <w:tcBorders>
              <w:bottom w:val="single" w:color="000000" w:sz="12" w:space="0"/>
            </w:tcBorders>
          </w:tcPr>
          <w:p w14:paraId="532479EB">
            <w:pPr>
              <w:pStyle w:val="28"/>
              <w:rPr>
                <w:rFonts w:ascii="Times New Roman"/>
                <w:color w:val="auto"/>
                <w:sz w:val="24"/>
                <w:szCs w:val="24"/>
                <w:highlight w:val="none"/>
              </w:rPr>
            </w:pPr>
          </w:p>
        </w:tc>
        <w:tc>
          <w:tcPr>
            <w:tcW w:w="1295" w:type="dxa"/>
            <w:tcBorders>
              <w:bottom w:val="single" w:color="000000" w:sz="12" w:space="0"/>
            </w:tcBorders>
          </w:tcPr>
          <w:p w14:paraId="4DD420F3">
            <w:pPr>
              <w:pStyle w:val="28"/>
              <w:spacing w:before="16" w:line="335" w:lineRule="exact"/>
              <w:ind w:left="101"/>
              <w:rPr>
                <w:rFonts w:ascii="Meiryo" w:hAnsi="Meiryo"/>
                <w:color w:val="auto"/>
                <w:sz w:val="24"/>
                <w:szCs w:val="24"/>
                <w:highlight w:val="none"/>
              </w:rPr>
            </w:pPr>
            <w:r>
              <w:rPr>
                <w:rFonts w:ascii="Meiryo" w:hAnsi="Meiryo"/>
                <w:color w:val="auto"/>
                <w:w w:val="101"/>
                <w:sz w:val="24"/>
                <w:szCs w:val="24"/>
                <w:highlight w:val="none"/>
              </w:rPr>
              <w:t>…</w:t>
            </w:r>
          </w:p>
        </w:tc>
        <w:tc>
          <w:tcPr>
            <w:tcW w:w="1907" w:type="dxa"/>
            <w:tcBorders>
              <w:bottom w:val="single" w:color="000000" w:sz="12" w:space="0"/>
            </w:tcBorders>
          </w:tcPr>
          <w:p w14:paraId="52CEAD46">
            <w:pPr>
              <w:pStyle w:val="28"/>
              <w:rPr>
                <w:rFonts w:ascii="Times New Roman"/>
                <w:color w:val="auto"/>
                <w:sz w:val="24"/>
                <w:szCs w:val="24"/>
                <w:highlight w:val="none"/>
              </w:rPr>
            </w:pPr>
          </w:p>
        </w:tc>
        <w:tc>
          <w:tcPr>
            <w:tcW w:w="1907" w:type="dxa"/>
            <w:tcBorders>
              <w:bottom w:val="single" w:color="000000" w:sz="12" w:space="0"/>
            </w:tcBorders>
          </w:tcPr>
          <w:p w14:paraId="04DEC214">
            <w:pPr>
              <w:pStyle w:val="28"/>
              <w:rPr>
                <w:rFonts w:ascii="Times New Roman"/>
                <w:color w:val="auto"/>
                <w:sz w:val="24"/>
                <w:szCs w:val="24"/>
                <w:highlight w:val="none"/>
              </w:rPr>
            </w:pPr>
          </w:p>
        </w:tc>
        <w:tc>
          <w:tcPr>
            <w:tcW w:w="1146" w:type="dxa"/>
            <w:tcBorders>
              <w:bottom w:val="single" w:color="000000" w:sz="12" w:space="0"/>
            </w:tcBorders>
          </w:tcPr>
          <w:p w14:paraId="5E52E354">
            <w:pPr>
              <w:pStyle w:val="28"/>
              <w:rPr>
                <w:rFonts w:ascii="Times New Roman"/>
                <w:color w:val="auto"/>
                <w:sz w:val="24"/>
                <w:szCs w:val="24"/>
                <w:highlight w:val="none"/>
              </w:rPr>
            </w:pPr>
          </w:p>
        </w:tc>
      </w:tr>
    </w:tbl>
    <w:p w14:paraId="3F2E4B0F">
      <w:pPr>
        <w:pStyle w:val="9"/>
        <w:spacing w:before="122"/>
        <w:rPr>
          <w:color w:val="auto"/>
          <w:highlight w:val="none"/>
        </w:rPr>
      </w:pPr>
      <w:r>
        <w:rPr>
          <w:color w:val="auto"/>
          <w:highlight w:val="none"/>
        </w:rPr>
        <w:t>说明：</w:t>
      </w:r>
    </w:p>
    <w:p w14:paraId="5E16CA64">
      <w:pPr>
        <w:pStyle w:val="27"/>
        <w:numPr>
          <w:ilvl w:val="0"/>
          <w:numId w:val="22"/>
        </w:numPr>
        <w:tabs>
          <w:tab w:val="left" w:pos="673"/>
        </w:tabs>
        <w:spacing w:before="104" w:after="0" w:line="240" w:lineRule="auto"/>
        <w:ind w:left="672" w:right="0" w:hanging="183"/>
        <w:jc w:val="left"/>
        <w:rPr>
          <w:color w:val="auto"/>
          <w:sz w:val="19"/>
          <w:highlight w:val="none"/>
        </w:rPr>
      </w:pPr>
      <w:r>
        <w:rPr>
          <w:rFonts w:hint="eastAsia" w:ascii="Meiryo" w:hAnsi="Meiryo" w:eastAsia="Meiryo"/>
          <w:color w:val="auto"/>
          <w:spacing w:val="-4"/>
          <w:sz w:val="19"/>
          <w:highlight w:val="none"/>
        </w:rPr>
        <w:t>“</w:t>
      </w:r>
      <w:r>
        <w:rPr>
          <w:color w:val="auto"/>
          <w:sz w:val="19"/>
          <w:highlight w:val="none"/>
        </w:rPr>
        <w:t>技术要求</w:t>
      </w:r>
      <w:r>
        <w:rPr>
          <w:rFonts w:hint="eastAsia" w:ascii="Meiryo" w:hAnsi="Meiryo" w:eastAsia="Meiryo"/>
          <w:color w:val="auto"/>
          <w:spacing w:val="-4"/>
          <w:sz w:val="19"/>
          <w:highlight w:val="none"/>
        </w:rPr>
        <w:t>”</w:t>
      </w:r>
      <w:r>
        <w:rPr>
          <w:color w:val="auto"/>
          <w:sz w:val="19"/>
          <w:highlight w:val="none"/>
        </w:rPr>
        <w:t>栏应详细列明磋商文件中的技术要求。</w:t>
      </w:r>
    </w:p>
    <w:p w14:paraId="7CD5F2E2">
      <w:pPr>
        <w:pStyle w:val="27"/>
        <w:numPr>
          <w:ilvl w:val="0"/>
          <w:numId w:val="22"/>
        </w:numPr>
        <w:tabs>
          <w:tab w:val="left" w:pos="673"/>
        </w:tabs>
        <w:spacing w:before="16" w:after="0" w:line="273" w:lineRule="auto"/>
        <w:ind w:left="106" w:right="161" w:firstLine="384"/>
        <w:jc w:val="left"/>
        <w:rPr>
          <w:color w:val="auto"/>
          <w:sz w:val="19"/>
          <w:highlight w:val="none"/>
        </w:rPr>
      </w:pPr>
      <w:r>
        <w:rPr>
          <w:rFonts w:hint="eastAsia" w:ascii="Meiryo" w:hAnsi="Meiryo" w:eastAsia="Meiryo"/>
          <w:color w:val="auto"/>
          <w:spacing w:val="-4"/>
          <w:sz w:val="19"/>
          <w:highlight w:val="none"/>
        </w:rPr>
        <w:t>“</w:t>
      </w:r>
      <w:r>
        <w:rPr>
          <w:color w:val="auto"/>
          <w:sz w:val="19"/>
          <w:highlight w:val="none"/>
        </w:rPr>
        <w:t>响应内容</w:t>
      </w:r>
      <w:r>
        <w:rPr>
          <w:rFonts w:hint="eastAsia" w:ascii="Meiryo" w:hAnsi="Meiryo" w:eastAsia="Meiryo"/>
          <w:color w:val="auto"/>
          <w:spacing w:val="-4"/>
          <w:sz w:val="19"/>
          <w:highlight w:val="none"/>
        </w:rPr>
        <w:t>”</w:t>
      </w:r>
      <w:r>
        <w:rPr>
          <w:color w:val="auto"/>
          <w:spacing w:val="-1"/>
          <w:sz w:val="19"/>
          <w:highlight w:val="none"/>
        </w:rPr>
        <w:t>栏填写供应商对磋商文件提出的技术要求作出的明确响应，并列明具体响应数值或内容，只注明符合、满足</w:t>
      </w:r>
      <w:r>
        <w:rPr>
          <w:color w:val="auto"/>
          <w:sz w:val="19"/>
          <w:highlight w:val="none"/>
        </w:rPr>
        <w:t>等无具体内容表述的，将视为未实质性满足磋商文件要求。</w:t>
      </w:r>
    </w:p>
    <w:p w14:paraId="5CCF02E3">
      <w:pPr>
        <w:pStyle w:val="27"/>
        <w:numPr>
          <w:ilvl w:val="0"/>
          <w:numId w:val="22"/>
        </w:numPr>
        <w:tabs>
          <w:tab w:val="left" w:pos="673"/>
        </w:tabs>
        <w:spacing w:before="70" w:after="0" w:line="240" w:lineRule="auto"/>
        <w:ind w:left="672" w:right="0" w:hanging="183"/>
        <w:jc w:val="left"/>
        <w:rPr>
          <w:color w:val="auto"/>
          <w:sz w:val="19"/>
          <w:highlight w:val="none"/>
        </w:rPr>
      </w:pPr>
      <w:r>
        <w:rPr>
          <w:rFonts w:hint="eastAsia" w:ascii="Meiryo" w:hAnsi="Meiryo" w:eastAsia="Meiryo"/>
          <w:color w:val="auto"/>
          <w:spacing w:val="-4"/>
          <w:sz w:val="19"/>
          <w:highlight w:val="none"/>
        </w:rPr>
        <w:t>“</w:t>
      </w:r>
      <w:r>
        <w:rPr>
          <w:color w:val="auto"/>
          <w:sz w:val="19"/>
          <w:highlight w:val="none"/>
        </w:rPr>
        <w:t>偏离程度</w:t>
      </w:r>
      <w:r>
        <w:rPr>
          <w:rFonts w:hint="eastAsia" w:ascii="Meiryo" w:hAnsi="Meiryo" w:eastAsia="Meiryo"/>
          <w:color w:val="auto"/>
          <w:spacing w:val="-4"/>
          <w:sz w:val="19"/>
          <w:highlight w:val="none"/>
        </w:rPr>
        <w:t>”</w:t>
      </w:r>
      <w:r>
        <w:rPr>
          <w:color w:val="auto"/>
          <w:sz w:val="19"/>
          <w:highlight w:val="none"/>
        </w:rPr>
        <w:t>栏填写满足、响应或正偏离、负偏离。</w:t>
      </w:r>
    </w:p>
    <w:p w14:paraId="5D0DE081">
      <w:pPr>
        <w:pStyle w:val="27"/>
        <w:numPr>
          <w:ilvl w:val="0"/>
          <w:numId w:val="22"/>
        </w:numPr>
        <w:tabs>
          <w:tab w:val="left" w:pos="673"/>
        </w:tabs>
        <w:spacing w:before="16" w:after="0" w:line="240" w:lineRule="auto"/>
        <w:ind w:left="672" w:right="0" w:hanging="183"/>
        <w:jc w:val="left"/>
        <w:rPr>
          <w:color w:val="auto"/>
          <w:sz w:val="19"/>
          <w:highlight w:val="none"/>
        </w:rPr>
      </w:pPr>
      <w:r>
        <w:rPr>
          <w:rFonts w:hint="eastAsia" w:ascii="Meiryo" w:hAnsi="Meiryo" w:eastAsia="Meiryo"/>
          <w:color w:val="auto"/>
          <w:spacing w:val="-4"/>
          <w:sz w:val="19"/>
          <w:highlight w:val="none"/>
        </w:rPr>
        <w:t>“</w:t>
      </w:r>
      <w:r>
        <w:rPr>
          <w:color w:val="auto"/>
          <w:sz w:val="19"/>
          <w:highlight w:val="none"/>
        </w:rPr>
        <w:t>备注</w:t>
      </w:r>
      <w:r>
        <w:rPr>
          <w:rFonts w:hint="eastAsia" w:ascii="Meiryo" w:hAnsi="Meiryo" w:eastAsia="Meiryo"/>
          <w:color w:val="auto"/>
          <w:spacing w:val="-4"/>
          <w:sz w:val="19"/>
          <w:highlight w:val="none"/>
        </w:rPr>
        <w:t>”</w:t>
      </w:r>
      <w:r>
        <w:rPr>
          <w:color w:val="auto"/>
          <w:sz w:val="19"/>
          <w:highlight w:val="none"/>
        </w:rPr>
        <w:t>栏填写偏离情况的具体说明。</w:t>
      </w:r>
    </w:p>
    <w:p w14:paraId="734D533A">
      <w:pPr>
        <w:pStyle w:val="27"/>
        <w:numPr>
          <w:ilvl w:val="0"/>
          <w:numId w:val="22"/>
        </w:numPr>
        <w:tabs>
          <w:tab w:val="left" w:pos="731"/>
        </w:tabs>
        <w:spacing w:before="15" w:after="0" w:line="240" w:lineRule="auto"/>
        <w:ind w:left="730" w:right="0" w:hanging="241"/>
        <w:jc w:val="left"/>
        <w:rPr>
          <w:color w:val="auto"/>
          <w:sz w:val="19"/>
          <w:highlight w:val="none"/>
        </w:rPr>
      </w:pPr>
      <w:r>
        <w:rPr>
          <w:color w:val="auto"/>
          <w:sz w:val="19"/>
          <w:highlight w:val="none"/>
        </w:rPr>
        <w:t>本表填写内容与分项</w:t>
      </w:r>
      <w:r>
        <w:rPr>
          <w:rFonts w:hint="eastAsia"/>
          <w:color w:val="auto"/>
          <w:sz w:val="19"/>
          <w:highlight w:val="none"/>
          <w:lang w:eastAsia="zh-CN"/>
        </w:rPr>
        <w:t>响应</w:t>
      </w:r>
      <w:r>
        <w:rPr>
          <w:color w:val="auto"/>
          <w:sz w:val="19"/>
          <w:highlight w:val="none"/>
        </w:rPr>
        <w:t>明细表不一致的，以分项</w:t>
      </w:r>
      <w:r>
        <w:rPr>
          <w:rFonts w:hint="eastAsia"/>
          <w:color w:val="auto"/>
          <w:sz w:val="19"/>
          <w:highlight w:val="none"/>
          <w:lang w:eastAsia="zh-CN"/>
        </w:rPr>
        <w:t>响应</w:t>
      </w:r>
      <w:r>
        <w:rPr>
          <w:color w:val="auto"/>
          <w:sz w:val="19"/>
          <w:highlight w:val="none"/>
        </w:rPr>
        <w:t>明细表内容为准。</w:t>
      </w:r>
    </w:p>
    <w:p w14:paraId="06DB188D">
      <w:pPr>
        <w:spacing w:after="0" w:line="240" w:lineRule="auto"/>
        <w:jc w:val="left"/>
        <w:rPr>
          <w:color w:val="auto"/>
          <w:sz w:val="19"/>
          <w:highlight w:val="none"/>
        </w:rPr>
        <w:sectPr>
          <w:pgSz w:w="11900" w:h="16840"/>
          <w:pgMar w:top="1599" w:right="1259" w:bottom="1599" w:left="1259" w:header="720" w:footer="91" w:gutter="0"/>
          <w:pgNumType w:fmt="decimal"/>
          <w:cols w:space="0" w:num="1"/>
          <w:rtlGutter w:val="0"/>
          <w:docGrid w:linePitch="0" w:charSpace="0"/>
        </w:sectPr>
      </w:pPr>
    </w:p>
    <w:p w14:paraId="11C1E4A4">
      <w:pPr>
        <w:pStyle w:val="9"/>
        <w:spacing w:before="6"/>
        <w:ind w:left="0"/>
        <w:rPr>
          <w:color w:val="auto"/>
          <w:sz w:val="18"/>
          <w:highlight w:val="none"/>
        </w:rPr>
      </w:pPr>
    </w:p>
    <w:p w14:paraId="3076A984">
      <w:pPr>
        <w:pStyle w:val="4"/>
        <w:spacing w:before="76"/>
        <w:ind w:left="295" w:right="362"/>
        <w:jc w:val="center"/>
        <w:rPr>
          <w:color w:val="auto"/>
          <w:sz w:val="28"/>
          <w:szCs w:val="28"/>
          <w:highlight w:val="none"/>
        </w:rPr>
      </w:pPr>
      <w:bookmarkStart w:id="370" w:name="_Toc3125"/>
      <w:bookmarkStart w:id="371" w:name="_Toc13534"/>
      <w:bookmarkStart w:id="372" w:name="_Toc16248"/>
      <w:bookmarkStart w:id="373" w:name="_Toc28579"/>
      <w:bookmarkStart w:id="374" w:name="_Toc15631"/>
      <w:r>
        <w:rPr>
          <w:color w:val="auto"/>
          <w:sz w:val="28"/>
          <w:szCs w:val="28"/>
          <w:highlight w:val="none"/>
        </w:rPr>
        <w:t>十八、项目组成人员一览表</w:t>
      </w:r>
      <w:bookmarkEnd w:id="370"/>
      <w:bookmarkEnd w:id="371"/>
      <w:bookmarkEnd w:id="372"/>
      <w:bookmarkEnd w:id="373"/>
      <w:bookmarkEnd w:id="374"/>
    </w:p>
    <w:p w14:paraId="48BAA387">
      <w:pPr>
        <w:pStyle w:val="9"/>
        <w:spacing w:before="2"/>
        <w:ind w:left="0"/>
        <w:rPr>
          <w:b/>
          <w:color w:val="auto"/>
          <w:sz w:val="28"/>
          <w:szCs w:val="28"/>
          <w:highlight w:val="none"/>
        </w:rPr>
      </w:pPr>
    </w:p>
    <w:tbl>
      <w:tblPr>
        <w:tblStyle w:val="19"/>
        <w:tblW w:w="1005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8"/>
        <w:gridCol w:w="869"/>
        <w:gridCol w:w="2288"/>
        <w:gridCol w:w="869"/>
        <w:gridCol w:w="2288"/>
        <w:gridCol w:w="1442"/>
        <w:gridCol w:w="1442"/>
      </w:tblGrid>
      <w:tr w14:paraId="11D0EE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jc w:val="center"/>
        </w:trPr>
        <w:tc>
          <w:tcPr>
            <w:tcW w:w="858" w:type="dxa"/>
          </w:tcPr>
          <w:p w14:paraId="3D3267E9">
            <w:pPr>
              <w:pStyle w:val="28"/>
              <w:spacing w:before="60"/>
              <w:ind w:left="100"/>
              <w:rPr>
                <w:color w:val="auto"/>
                <w:sz w:val="24"/>
                <w:szCs w:val="24"/>
                <w:highlight w:val="none"/>
              </w:rPr>
            </w:pPr>
            <w:r>
              <w:rPr>
                <w:color w:val="auto"/>
                <w:sz w:val="24"/>
                <w:szCs w:val="24"/>
                <w:highlight w:val="none"/>
              </w:rPr>
              <w:t>序号</w:t>
            </w:r>
          </w:p>
        </w:tc>
        <w:tc>
          <w:tcPr>
            <w:tcW w:w="869" w:type="dxa"/>
          </w:tcPr>
          <w:p w14:paraId="52C6ED66">
            <w:pPr>
              <w:pStyle w:val="28"/>
              <w:spacing w:before="60"/>
              <w:ind w:left="100"/>
              <w:rPr>
                <w:color w:val="auto"/>
                <w:sz w:val="24"/>
                <w:szCs w:val="24"/>
                <w:highlight w:val="none"/>
              </w:rPr>
            </w:pPr>
            <w:r>
              <w:rPr>
                <w:color w:val="auto"/>
                <w:sz w:val="24"/>
                <w:szCs w:val="24"/>
                <w:highlight w:val="none"/>
              </w:rPr>
              <w:t>姓名</w:t>
            </w:r>
          </w:p>
        </w:tc>
        <w:tc>
          <w:tcPr>
            <w:tcW w:w="2288" w:type="dxa"/>
          </w:tcPr>
          <w:p w14:paraId="374C960D">
            <w:pPr>
              <w:pStyle w:val="28"/>
              <w:spacing w:before="60"/>
              <w:ind w:left="101"/>
              <w:rPr>
                <w:color w:val="auto"/>
                <w:sz w:val="24"/>
                <w:szCs w:val="24"/>
                <w:highlight w:val="none"/>
              </w:rPr>
            </w:pPr>
            <w:r>
              <w:rPr>
                <w:color w:val="auto"/>
                <w:sz w:val="24"/>
                <w:szCs w:val="24"/>
                <w:highlight w:val="none"/>
              </w:rPr>
              <w:t>本项目拟任职务</w:t>
            </w:r>
          </w:p>
        </w:tc>
        <w:tc>
          <w:tcPr>
            <w:tcW w:w="869" w:type="dxa"/>
          </w:tcPr>
          <w:p w14:paraId="1468EBB2">
            <w:pPr>
              <w:pStyle w:val="28"/>
              <w:spacing w:before="60"/>
              <w:ind w:left="101"/>
              <w:rPr>
                <w:color w:val="auto"/>
                <w:sz w:val="24"/>
                <w:szCs w:val="24"/>
                <w:highlight w:val="none"/>
              </w:rPr>
            </w:pPr>
            <w:r>
              <w:rPr>
                <w:color w:val="auto"/>
                <w:sz w:val="24"/>
                <w:szCs w:val="24"/>
                <w:highlight w:val="none"/>
              </w:rPr>
              <w:t>学历</w:t>
            </w:r>
          </w:p>
        </w:tc>
        <w:tc>
          <w:tcPr>
            <w:tcW w:w="2288" w:type="dxa"/>
          </w:tcPr>
          <w:p w14:paraId="02CC4368">
            <w:pPr>
              <w:pStyle w:val="28"/>
              <w:spacing w:before="60"/>
              <w:ind w:left="101"/>
              <w:rPr>
                <w:color w:val="auto"/>
                <w:sz w:val="24"/>
                <w:szCs w:val="24"/>
                <w:highlight w:val="none"/>
              </w:rPr>
            </w:pPr>
            <w:r>
              <w:rPr>
                <w:color w:val="auto"/>
                <w:sz w:val="24"/>
                <w:szCs w:val="24"/>
                <w:highlight w:val="none"/>
              </w:rPr>
              <w:t>职称或执业资格</w:t>
            </w:r>
          </w:p>
        </w:tc>
        <w:tc>
          <w:tcPr>
            <w:tcW w:w="1442" w:type="dxa"/>
          </w:tcPr>
          <w:p w14:paraId="568A8B2F">
            <w:pPr>
              <w:pStyle w:val="28"/>
              <w:spacing w:before="60"/>
              <w:ind w:left="102"/>
              <w:rPr>
                <w:color w:val="auto"/>
                <w:sz w:val="24"/>
                <w:szCs w:val="24"/>
                <w:highlight w:val="none"/>
              </w:rPr>
            </w:pPr>
            <w:r>
              <w:rPr>
                <w:color w:val="auto"/>
                <w:sz w:val="24"/>
                <w:szCs w:val="24"/>
                <w:highlight w:val="none"/>
              </w:rPr>
              <w:t>身份证号</w:t>
            </w:r>
          </w:p>
        </w:tc>
        <w:tc>
          <w:tcPr>
            <w:tcW w:w="1442" w:type="dxa"/>
          </w:tcPr>
          <w:p w14:paraId="7C9D2652">
            <w:pPr>
              <w:pStyle w:val="28"/>
              <w:spacing w:before="60"/>
              <w:ind w:left="103"/>
              <w:rPr>
                <w:color w:val="auto"/>
                <w:sz w:val="24"/>
                <w:szCs w:val="24"/>
                <w:highlight w:val="none"/>
              </w:rPr>
            </w:pPr>
            <w:r>
              <w:rPr>
                <w:color w:val="auto"/>
                <w:sz w:val="24"/>
                <w:szCs w:val="24"/>
                <w:highlight w:val="none"/>
              </w:rPr>
              <w:t>联系电话</w:t>
            </w:r>
          </w:p>
        </w:tc>
      </w:tr>
      <w:tr w14:paraId="21A704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jc w:val="center"/>
        </w:trPr>
        <w:tc>
          <w:tcPr>
            <w:tcW w:w="858" w:type="dxa"/>
          </w:tcPr>
          <w:p w14:paraId="629350F1">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1</w:t>
            </w:r>
          </w:p>
        </w:tc>
        <w:tc>
          <w:tcPr>
            <w:tcW w:w="869" w:type="dxa"/>
          </w:tcPr>
          <w:p w14:paraId="12A09015">
            <w:pPr>
              <w:pStyle w:val="28"/>
              <w:rPr>
                <w:rFonts w:ascii="Times New Roman"/>
                <w:color w:val="auto"/>
                <w:sz w:val="24"/>
                <w:szCs w:val="24"/>
                <w:highlight w:val="none"/>
              </w:rPr>
            </w:pPr>
          </w:p>
        </w:tc>
        <w:tc>
          <w:tcPr>
            <w:tcW w:w="2288" w:type="dxa"/>
          </w:tcPr>
          <w:p w14:paraId="5F468A74">
            <w:pPr>
              <w:pStyle w:val="28"/>
              <w:rPr>
                <w:rFonts w:ascii="Times New Roman"/>
                <w:color w:val="auto"/>
                <w:sz w:val="24"/>
                <w:szCs w:val="24"/>
                <w:highlight w:val="none"/>
              </w:rPr>
            </w:pPr>
          </w:p>
        </w:tc>
        <w:tc>
          <w:tcPr>
            <w:tcW w:w="869" w:type="dxa"/>
          </w:tcPr>
          <w:p w14:paraId="43A58E6A">
            <w:pPr>
              <w:pStyle w:val="28"/>
              <w:rPr>
                <w:rFonts w:ascii="Times New Roman"/>
                <w:color w:val="auto"/>
                <w:sz w:val="24"/>
                <w:szCs w:val="24"/>
                <w:highlight w:val="none"/>
              </w:rPr>
            </w:pPr>
          </w:p>
        </w:tc>
        <w:tc>
          <w:tcPr>
            <w:tcW w:w="2288" w:type="dxa"/>
          </w:tcPr>
          <w:p w14:paraId="6B456CFB">
            <w:pPr>
              <w:pStyle w:val="28"/>
              <w:rPr>
                <w:rFonts w:ascii="Times New Roman"/>
                <w:color w:val="auto"/>
                <w:sz w:val="24"/>
                <w:szCs w:val="24"/>
                <w:highlight w:val="none"/>
              </w:rPr>
            </w:pPr>
          </w:p>
        </w:tc>
        <w:tc>
          <w:tcPr>
            <w:tcW w:w="1442" w:type="dxa"/>
          </w:tcPr>
          <w:p w14:paraId="5DE02B74">
            <w:pPr>
              <w:pStyle w:val="28"/>
              <w:rPr>
                <w:rFonts w:ascii="Times New Roman"/>
                <w:color w:val="auto"/>
                <w:sz w:val="24"/>
                <w:szCs w:val="24"/>
                <w:highlight w:val="none"/>
              </w:rPr>
            </w:pPr>
          </w:p>
        </w:tc>
        <w:tc>
          <w:tcPr>
            <w:tcW w:w="1442" w:type="dxa"/>
          </w:tcPr>
          <w:p w14:paraId="09529881">
            <w:pPr>
              <w:pStyle w:val="28"/>
              <w:rPr>
                <w:rFonts w:ascii="Times New Roman"/>
                <w:color w:val="auto"/>
                <w:sz w:val="24"/>
                <w:szCs w:val="24"/>
                <w:highlight w:val="none"/>
              </w:rPr>
            </w:pPr>
          </w:p>
        </w:tc>
      </w:tr>
      <w:tr w14:paraId="15058A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jc w:val="center"/>
        </w:trPr>
        <w:tc>
          <w:tcPr>
            <w:tcW w:w="858" w:type="dxa"/>
          </w:tcPr>
          <w:p w14:paraId="0F51225D">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2</w:t>
            </w:r>
          </w:p>
        </w:tc>
        <w:tc>
          <w:tcPr>
            <w:tcW w:w="869" w:type="dxa"/>
          </w:tcPr>
          <w:p w14:paraId="45B29C47">
            <w:pPr>
              <w:pStyle w:val="28"/>
              <w:rPr>
                <w:rFonts w:ascii="Times New Roman"/>
                <w:color w:val="auto"/>
                <w:sz w:val="24"/>
                <w:szCs w:val="24"/>
                <w:highlight w:val="none"/>
              </w:rPr>
            </w:pPr>
          </w:p>
        </w:tc>
        <w:tc>
          <w:tcPr>
            <w:tcW w:w="2288" w:type="dxa"/>
          </w:tcPr>
          <w:p w14:paraId="518FF39B">
            <w:pPr>
              <w:pStyle w:val="28"/>
              <w:rPr>
                <w:rFonts w:ascii="Times New Roman"/>
                <w:color w:val="auto"/>
                <w:sz w:val="24"/>
                <w:szCs w:val="24"/>
                <w:highlight w:val="none"/>
              </w:rPr>
            </w:pPr>
          </w:p>
        </w:tc>
        <w:tc>
          <w:tcPr>
            <w:tcW w:w="869" w:type="dxa"/>
          </w:tcPr>
          <w:p w14:paraId="6866A1D1">
            <w:pPr>
              <w:pStyle w:val="28"/>
              <w:rPr>
                <w:rFonts w:ascii="Times New Roman"/>
                <w:color w:val="auto"/>
                <w:sz w:val="24"/>
                <w:szCs w:val="24"/>
                <w:highlight w:val="none"/>
              </w:rPr>
            </w:pPr>
          </w:p>
        </w:tc>
        <w:tc>
          <w:tcPr>
            <w:tcW w:w="2288" w:type="dxa"/>
          </w:tcPr>
          <w:p w14:paraId="66F8876A">
            <w:pPr>
              <w:pStyle w:val="28"/>
              <w:rPr>
                <w:rFonts w:ascii="Times New Roman"/>
                <w:color w:val="auto"/>
                <w:sz w:val="24"/>
                <w:szCs w:val="24"/>
                <w:highlight w:val="none"/>
              </w:rPr>
            </w:pPr>
          </w:p>
        </w:tc>
        <w:tc>
          <w:tcPr>
            <w:tcW w:w="1442" w:type="dxa"/>
          </w:tcPr>
          <w:p w14:paraId="37DBDF8B">
            <w:pPr>
              <w:pStyle w:val="28"/>
              <w:rPr>
                <w:rFonts w:ascii="Times New Roman"/>
                <w:color w:val="auto"/>
                <w:sz w:val="24"/>
                <w:szCs w:val="24"/>
                <w:highlight w:val="none"/>
              </w:rPr>
            </w:pPr>
          </w:p>
        </w:tc>
        <w:tc>
          <w:tcPr>
            <w:tcW w:w="1442" w:type="dxa"/>
          </w:tcPr>
          <w:p w14:paraId="5B3BDC79">
            <w:pPr>
              <w:pStyle w:val="28"/>
              <w:rPr>
                <w:rFonts w:ascii="Times New Roman"/>
                <w:color w:val="auto"/>
                <w:sz w:val="24"/>
                <w:szCs w:val="24"/>
                <w:highlight w:val="none"/>
              </w:rPr>
            </w:pPr>
          </w:p>
        </w:tc>
      </w:tr>
      <w:tr w14:paraId="1CAFC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9" w:hRule="atLeast"/>
          <w:jc w:val="center"/>
        </w:trPr>
        <w:tc>
          <w:tcPr>
            <w:tcW w:w="858" w:type="dxa"/>
          </w:tcPr>
          <w:p w14:paraId="6C5A982D">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3</w:t>
            </w:r>
          </w:p>
        </w:tc>
        <w:tc>
          <w:tcPr>
            <w:tcW w:w="869" w:type="dxa"/>
          </w:tcPr>
          <w:p w14:paraId="6FFB2177">
            <w:pPr>
              <w:pStyle w:val="28"/>
              <w:rPr>
                <w:rFonts w:ascii="Times New Roman"/>
                <w:color w:val="auto"/>
                <w:sz w:val="24"/>
                <w:szCs w:val="24"/>
                <w:highlight w:val="none"/>
              </w:rPr>
            </w:pPr>
          </w:p>
        </w:tc>
        <w:tc>
          <w:tcPr>
            <w:tcW w:w="2288" w:type="dxa"/>
          </w:tcPr>
          <w:p w14:paraId="17BEBC72">
            <w:pPr>
              <w:pStyle w:val="28"/>
              <w:rPr>
                <w:rFonts w:ascii="Times New Roman"/>
                <w:color w:val="auto"/>
                <w:sz w:val="24"/>
                <w:szCs w:val="24"/>
                <w:highlight w:val="none"/>
              </w:rPr>
            </w:pPr>
          </w:p>
        </w:tc>
        <w:tc>
          <w:tcPr>
            <w:tcW w:w="869" w:type="dxa"/>
          </w:tcPr>
          <w:p w14:paraId="4D0BB1D5">
            <w:pPr>
              <w:pStyle w:val="28"/>
              <w:rPr>
                <w:rFonts w:ascii="Times New Roman"/>
                <w:color w:val="auto"/>
                <w:sz w:val="24"/>
                <w:szCs w:val="24"/>
                <w:highlight w:val="none"/>
              </w:rPr>
            </w:pPr>
          </w:p>
        </w:tc>
        <w:tc>
          <w:tcPr>
            <w:tcW w:w="2288" w:type="dxa"/>
          </w:tcPr>
          <w:p w14:paraId="7089FEEC">
            <w:pPr>
              <w:pStyle w:val="28"/>
              <w:rPr>
                <w:rFonts w:ascii="Times New Roman"/>
                <w:color w:val="auto"/>
                <w:sz w:val="24"/>
                <w:szCs w:val="24"/>
                <w:highlight w:val="none"/>
              </w:rPr>
            </w:pPr>
          </w:p>
        </w:tc>
        <w:tc>
          <w:tcPr>
            <w:tcW w:w="1442" w:type="dxa"/>
          </w:tcPr>
          <w:p w14:paraId="2C4703F4">
            <w:pPr>
              <w:pStyle w:val="28"/>
              <w:rPr>
                <w:rFonts w:ascii="Times New Roman"/>
                <w:color w:val="auto"/>
                <w:sz w:val="24"/>
                <w:szCs w:val="24"/>
                <w:highlight w:val="none"/>
              </w:rPr>
            </w:pPr>
          </w:p>
        </w:tc>
        <w:tc>
          <w:tcPr>
            <w:tcW w:w="1442" w:type="dxa"/>
          </w:tcPr>
          <w:p w14:paraId="75C5B7AD">
            <w:pPr>
              <w:pStyle w:val="28"/>
              <w:rPr>
                <w:rFonts w:ascii="Times New Roman"/>
                <w:color w:val="auto"/>
                <w:sz w:val="24"/>
                <w:szCs w:val="24"/>
                <w:highlight w:val="none"/>
              </w:rPr>
            </w:pPr>
          </w:p>
        </w:tc>
      </w:tr>
      <w:tr w14:paraId="02C363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4" w:hRule="atLeast"/>
          <w:jc w:val="center"/>
        </w:trPr>
        <w:tc>
          <w:tcPr>
            <w:tcW w:w="858" w:type="dxa"/>
          </w:tcPr>
          <w:p w14:paraId="0CC4FFCA">
            <w:pPr>
              <w:pStyle w:val="28"/>
              <w:spacing w:before="24" w:line="337" w:lineRule="exact"/>
              <w:ind w:left="100"/>
              <w:rPr>
                <w:rFonts w:ascii="Meiryo" w:hAnsi="Meiryo"/>
                <w:color w:val="auto"/>
                <w:sz w:val="24"/>
                <w:szCs w:val="24"/>
                <w:highlight w:val="none"/>
              </w:rPr>
            </w:pPr>
            <w:r>
              <w:rPr>
                <w:rFonts w:ascii="Meiryo" w:hAnsi="Meiryo"/>
                <w:color w:val="auto"/>
                <w:sz w:val="24"/>
                <w:szCs w:val="24"/>
                <w:highlight w:val="none"/>
              </w:rPr>
              <w:t>……</w:t>
            </w:r>
          </w:p>
        </w:tc>
        <w:tc>
          <w:tcPr>
            <w:tcW w:w="869" w:type="dxa"/>
          </w:tcPr>
          <w:p w14:paraId="339773B0">
            <w:pPr>
              <w:pStyle w:val="28"/>
              <w:rPr>
                <w:rFonts w:ascii="Times New Roman"/>
                <w:color w:val="auto"/>
                <w:sz w:val="24"/>
                <w:szCs w:val="24"/>
                <w:highlight w:val="none"/>
              </w:rPr>
            </w:pPr>
          </w:p>
        </w:tc>
        <w:tc>
          <w:tcPr>
            <w:tcW w:w="2288" w:type="dxa"/>
          </w:tcPr>
          <w:p w14:paraId="4C20AA36">
            <w:pPr>
              <w:pStyle w:val="28"/>
              <w:rPr>
                <w:rFonts w:ascii="Times New Roman"/>
                <w:color w:val="auto"/>
                <w:sz w:val="24"/>
                <w:szCs w:val="24"/>
                <w:highlight w:val="none"/>
              </w:rPr>
            </w:pPr>
          </w:p>
        </w:tc>
        <w:tc>
          <w:tcPr>
            <w:tcW w:w="869" w:type="dxa"/>
          </w:tcPr>
          <w:p w14:paraId="21B13093">
            <w:pPr>
              <w:pStyle w:val="28"/>
              <w:rPr>
                <w:rFonts w:ascii="Times New Roman"/>
                <w:color w:val="auto"/>
                <w:sz w:val="24"/>
                <w:szCs w:val="24"/>
                <w:highlight w:val="none"/>
              </w:rPr>
            </w:pPr>
          </w:p>
        </w:tc>
        <w:tc>
          <w:tcPr>
            <w:tcW w:w="2288" w:type="dxa"/>
          </w:tcPr>
          <w:p w14:paraId="5EFDA89C">
            <w:pPr>
              <w:pStyle w:val="28"/>
              <w:rPr>
                <w:rFonts w:ascii="Times New Roman"/>
                <w:color w:val="auto"/>
                <w:sz w:val="24"/>
                <w:szCs w:val="24"/>
                <w:highlight w:val="none"/>
              </w:rPr>
            </w:pPr>
          </w:p>
        </w:tc>
        <w:tc>
          <w:tcPr>
            <w:tcW w:w="1442" w:type="dxa"/>
          </w:tcPr>
          <w:p w14:paraId="0B566D7C">
            <w:pPr>
              <w:pStyle w:val="28"/>
              <w:rPr>
                <w:rFonts w:ascii="Times New Roman"/>
                <w:color w:val="auto"/>
                <w:sz w:val="24"/>
                <w:szCs w:val="24"/>
                <w:highlight w:val="none"/>
              </w:rPr>
            </w:pPr>
          </w:p>
        </w:tc>
        <w:tc>
          <w:tcPr>
            <w:tcW w:w="1442" w:type="dxa"/>
          </w:tcPr>
          <w:p w14:paraId="2569A53A">
            <w:pPr>
              <w:pStyle w:val="28"/>
              <w:rPr>
                <w:rFonts w:ascii="Times New Roman"/>
                <w:color w:val="auto"/>
                <w:sz w:val="24"/>
                <w:szCs w:val="24"/>
                <w:highlight w:val="none"/>
              </w:rPr>
            </w:pPr>
          </w:p>
        </w:tc>
      </w:tr>
    </w:tbl>
    <w:p w14:paraId="369546D3">
      <w:pPr>
        <w:pStyle w:val="5"/>
        <w:spacing w:before="122" w:line="240" w:lineRule="auto"/>
        <w:ind w:left="706" w:right="391"/>
        <w:jc w:val="center"/>
        <w:rPr>
          <w:color w:val="auto"/>
          <w:highlight w:val="none"/>
        </w:rPr>
      </w:pPr>
      <w:r>
        <w:rPr>
          <w:color w:val="auto"/>
          <w:highlight w:val="none"/>
        </w:rPr>
        <w:t>按磋商文件要求在本表后附相关人员证书。</w:t>
      </w:r>
    </w:p>
    <w:p w14:paraId="26AA9D13">
      <w:pPr>
        <w:pStyle w:val="9"/>
        <w:spacing w:before="140"/>
        <w:rPr>
          <w:color w:val="auto"/>
          <w:highlight w:val="none"/>
        </w:rPr>
      </w:pPr>
      <w:r>
        <w:rPr>
          <w:color w:val="auto"/>
          <w:highlight w:val="none"/>
        </w:rPr>
        <w:t>说明：</w:t>
      </w:r>
    </w:p>
    <w:p w14:paraId="2C630CF6">
      <w:pPr>
        <w:pStyle w:val="27"/>
        <w:numPr>
          <w:ilvl w:val="0"/>
          <w:numId w:val="23"/>
        </w:numPr>
        <w:tabs>
          <w:tab w:val="left" w:pos="673"/>
        </w:tabs>
        <w:spacing w:before="105" w:after="0" w:line="240" w:lineRule="auto"/>
        <w:ind w:left="672" w:right="0" w:hanging="183"/>
        <w:jc w:val="left"/>
        <w:rPr>
          <w:color w:val="auto"/>
          <w:sz w:val="19"/>
          <w:highlight w:val="none"/>
        </w:rPr>
      </w:pPr>
      <w:r>
        <w:rPr>
          <w:rFonts w:hint="eastAsia" w:ascii="Meiryo" w:hAnsi="Meiryo" w:eastAsia="Meiryo"/>
          <w:color w:val="auto"/>
          <w:spacing w:val="-4"/>
          <w:sz w:val="19"/>
          <w:highlight w:val="none"/>
        </w:rPr>
        <w:t>“</w:t>
      </w:r>
      <w:r>
        <w:rPr>
          <w:color w:val="auto"/>
          <w:sz w:val="19"/>
          <w:highlight w:val="none"/>
        </w:rPr>
        <w:t>本项目拟任职务</w:t>
      </w:r>
      <w:r>
        <w:rPr>
          <w:rFonts w:hint="eastAsia" w:ascii="Meiryo" w:hAnsi="Meiryo" w:eastAsia="Meiryo"/>
          <w:color w:val="auto"/>
          <w:spacing w:val="-4"/>
          <w:sz w:val="19"/>
          <w:highlight w:val="none"/>
        </w:rPr>
        <w:t>”</w:t>
      </w:r>
      <w:r>
        <w:rPr>
          <w:color w:val="auto"/>
          <w:sz w:val="19"/>
          <w:highlight w:val="none"/>
        </w:rPr>
        <w:t>栏应包括：项目负责人、项目联系人、项目服务人员或技术人员等。</w:t>
      </w:r>
    </w:p>
    <w:p w14:paraId="3C6139E5">
      <w:pPr>
        <w:pStyle w:val="27"/>
        <w:numPr>
          <w:ilvl w:val="0"/>
          <w:numId w:val="23"/>
        </w:numPr>
        <w:tabs>
          <w:tab w:val="left" w:pos="673"/>
        </w:tabs>
        <w:spacing w:before="15" w:after="0" w:line="240" w:lineRule="auto"/>
        <w:ind w:left="672" w:right="0" w:hanging="183"/>
        <w:jc w:val="left"/>
        <w:rPr>
          <w:color w:val="auto"/>
          <w:sz w:val="19"/>
          <w:highlight w:val="none"/>
        </w:rPr>
      </w:pPr>
      <w:r>
        <w:rPr>
          <w:color w:val="auto"/>
          <w:sz w:val="19"/>
          <w:highlight w:val="none"/>
        </w:rPr>
        <w:t>如供应商中标，须按本表项目组成人员操作，不得随意更换。</w:t>
      </w:r>
    </w:p>
    <w:p w14:paraId="36B492E7">
      <w:pPr>
        <w:spacing w:after="0" w:line="240" w:lineRule="auto"/>
        <w:jc w:val="left"/>
        <w:rPr>
          <w:color w:val="auto"/>
          <w:sz w:val="19"/>
          <w:highlight w:val="none"/>
        </w:rPr>
        <w:sectPr>
          <w:pgSz w:w="11900" w:h="16840"/>
          <w:pgMar w:top="1599" w:right="1259" w:bottom="1599" w:left="1259" w:header="720" w:footer="91" w:gutter="0"/>
          <w:pgNumType w:fmt="decimal"/>
          <w:cols w:space="0" w:num="1"/>
          <w:rtlGutter w:val="0"/>
          <w:docGrid w:linePitch="0" w:charSpace="0"/>
        </w:sectPr>
      </w:pPr>
    </w:p>
    <w:p w14:paraId="0BAAF44D">
      <w:pPr>
        <w:pStyle w:val="4"/>
        <w:spacing w:before="64"/>
        <w:ind w:left="295" w:right="362"/>
        <w:jc w:val="center"/>
        <w:rPr>
          <w:color w:val="auto"/>
          <w:sz w:val="28"/>
          <w:szCs w:val="28"/>
          <w:highlight w:val="none"/>
        </w:rPr>
      </w:pPr>
      <w:bookmarkStart w:id="375" w:name="_Toc6067"/>
      <w:bookmarkStart w:id="376" w:name="_Toc14691"/>
      <w:bookmarkStart w:id="377" w:name="_Toc10582"/>
      <w:bookmarkStart w:id="378" w:name="_Toc25290"/>
      <w:bookmarkStart w:id="379" w:name="_Toc31421"/>
      <w:r>
        <w:rPr>
          <w:color w:val="auto"/>
          <w:sz w:val="28"/>
          <w:szCs w:val="28"/>
          <w:highlight w:val="none"/>
        </w:rPr>
        <w:t>十九、项目实施方案、质量保证及售后服务承诺等</w:t>
      </w:r>
      <w:bookmarkEnd w:id="375"/>
      <w:bookmarkEnd w:id="376"/>
      <w:bookmarkEnd w:id="377"/>
      <w:bookmarkEnd w:id="378"/>
      <w:bookmarkEnd w:id="379"/>
    </w:p>
    <w:p w14:paraId="6BC6D1CA">
      <w:pPr>
        <w:pStyle w:val="9"/>
        <w:spacing w:before="111"/>
        <w:ind w:left="730" w:right="391"/>
        <w:jc w:val="center"/>
        <w:rPr>
          <w:color w:val="auto"/>
          <w:highlight w:val="none"/>
        </w:rPr>
      </w:pPr>
      <w:r>
        <w:rPr>
          <w:color w:val="auto"/>
          <w:sz w:val="24"/>
          <w:szCs w:val="24"/>
          <w:highlight w:val="none"/>
        </w:rPr>
        <w:t>（内容和格式自拟）</w:t>
      </w:r>
    </w:p>
    <w:p w14:paraId="1E23B02E">
      <w:pPr>
        <w:spacing w:after="0"/>
        <w:jc w:val="center"/>
        <w:rPr>
          <w:color w:val="auto"/>
          <w:highlight w:val="none"/>
        </w:rPr>
        <w:sectPr>
          <w:pgSz w:w="11900" w:h="16840"/>
          <w:pgMar w:top="1599" w:right="1259" w:bottom="1599" w:left="1259" w:header="720" w:footer="91" w:gutter="0"/>
          <w:pgNumType w:fmt="decimal"/>
          <w:cols w:space="0" w:num="1"/>
          <w:rtlGutter w:val="0"/>
          <w:docGrid w:linePitch="0" w:charSpace="0"/>
        </w:sectPr>
      </w:pPr>
    </w:p>
    <w:p w14:paraId="6A7812BF">
      <w:pPr>
        <w:pStyle w:val="9"/>
        <w:spacing w:before="6"/>
        <w:ind w:left="0"/>
        <w:rPr>
          <w:color w:val="auto"/>
          <w:sz w:val="18"/>
          <w:highlight w:val="none"/>
        </w:rPr>
      </w:pPr>
    </w:p>
    <w:p w14:paraId="417E447F">
      <w:pPr>
        <w:pStyle w:val="4"/>
        <w:spacing w:before="76"/>
        <w:ind w:left="295" w:right="362"/>
        <w:jc w:val="center"/>
        <w:rPr>
          <w:color w:val="auto"/>
          <w:sz w:val="28"/>
          <w:szCs w:val="28"/>
          <w:highlight w:val="none"/>
        </w:rPr>
      </w:pPr>
      <w:bookmarkStart w:id="380" w:name="_Toc6977"/>
      <w:bookmarkStart w:id="381" w:name="_Toc12104"/>
      <w:bookmarkStart w:id="382" w:name="_Toc27937"/>
      <w:bookmarkStart w:id="383" w:name="_Toc26990"/>
      <w:bookmarkStart w:id="384" w:name="_Toc11665"/>
      <w:r>
        <w:rPr>
          <w:color w:val="auto"/>
          <w:sz w:val="28"/>
          <w:szCs w:val="28"/>
          <w:highlight w:val="none"/>
        </w:rPr>
        <w:t>二十、供应商业绩情况表</w:t>
      </w:r>
      <w:bookmarkEnd w:id="380"/>
      <w:bookmarkEnd w:id="381"/>
      <w:bookmarkEnd w:id="382"/>
      <w:bookmarkEnd w:id="383"/>
      <w:bookmarkEnd w:id="384"/>
    </w:p>
    <w:p w14:paraId="0A608F3D">
      <w:pPr>
        <w:pStyle w:val="9"/>
        <w:spacing w:before="2"/>
        <w:ind w:left="0"/>
        <w:rPr>
          <w:b/>
          <w:color w:val="auto"/>
          <w:sz w:val="28"/>
          <w:szCs w:val="28"/>
          <w:highlight w:val="none"/>
        </w:rPr>
      </w:pPr>
    </w:p>
    <w:tbl>
      <w:tblPr>
        <w:tblStyle w:val="19"/>
        <w:tblW w:w="9498" w:type="dxa"/>
        <w:tblInd w:w="12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242"/>
        <w:gridCol w:w="2064"/>
        <w:gridCol w:w="2064"/>
        <w:gridCol w:w="2064"/>
        <w:gridCol w:w="2064"/>
      </w:tblGrid>
      <w:tr w14:paraId="2FB2A1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242" w:type="dxa"/>
          </w:tcPr>
          <w:p w14:paraId="6AA4D07D">
            <w:pPr>
              <w:pStyle w:val="28"/>
              <w:spacing w:before="60"/>
              <w:ind w:left="100"/>
              <w:rPr>
                <w:color w:val="auto"/>
                <w:sz w:val="24"/>
                <w:szCs w:val="24"/>
                <w:highlight w:val="none"/>
              </w:rPr>
            </w:pPr>
            <w:r>
              <w:rPr>
                <w:color w:val="auto"/>
                <w:sz w:val="24"/>
                <w:szCs w:val="24"/>
                <w:highlight w:val="none"/>
              </w:rPr>
              <w:t>序号</w:t>
            </w:r>
          </w:p>
        </w:tc>
        <w:tc>
          <w:tcPr>
            <w:tcW w:w="2064" w:type="dxa"/>
          </w:tcPr>
          <w:p w14:paraId="68788CF2">
            <w:pPr>
              <w:pStyle w:val="28"/>
              <w:spacing w:before="60"/>
              <w:ind w:left="100"/>
              <w:rPr>
                <w:color w:val="auto"/>
                <w:sz w:val="24"/>
                <w:szCs w:val="24"/>
                <w:highlight w:val="none"/>
              </w:rPr>
            </w:pPr>
            <w:r>
              <w:rPr>
                <w:color w:val="auto"/>
                <w:sz w:val="24"/>
                <w:szCs w:val="24"/>
                <w:highlight w:val="none"/>
              </w:rPr>
              <w:t>使用单位</w:t>
            </w:r>
          </w:p>
        </w:tc>
        <w:tc>
          <w:tcPr>
            <w:tcW w:w="2064" w:type="dxa"/>
          </w:tcPr>
          <w:p w14:paraId="39890172">
            <w:pPr>
              <w:pStyle w:val="28"/>
              <w:spacing w:before="60"/>
              <w:ind w:left="101"/>
              <w:rPr>
                <w:color w:val="auto"/>
                <w:sz w:val="24"/>
                <w:szCs w:val="24"/>
                <w:highlight w:val="none"/>
              </w:rPr>
            </w:pPr>
            <w:r>
              <w:rPr>
                <w:color w:val="auto"/>
                <w:sz w:val="24"/>
                <w:szCs w:val="24"/>
                <w:highlight w:val="none"/>
              </w:rPr>
              <w:t>业绩名称</w:t>
            </w:r>
          </w:p>
        </w:tc>
        <w:tc>
          <w:tcPr>
            <w:tcW w:w="2064" w:type="dxa"/>
          </w:tcPr>
          <w:p w14:paraId="2C0BD2B8">
            <w:pPr>
              <w:pStyle w:val="28"/>
              <w:spacing w:before="60"/>
              <w:ind w:left="102"/>
              <w:rPr>
                <w:color w:val="auto"/>
                <w:sz w:val="24"/>
                <w:szCs w:val="24"/>
                <w:highlight w:val="none"/>
              </w:rPr>
            </w:pPr>
            <w:r>
              <w:rPr>
                <w:color w:val="auto"/>
                <w:sz w:val="24"/>
                <w:szCs w:val="24"/>
                <w:highlight w:val="none"/>
              </w:rPr>
              <w:t>合同总价</w:t>
            </w:r>
          </w:p>
        </w:tc>
        <w:tc>
          <w:tcPr>
            <w:tcW w:w="2064" w:type="dxa"/>
          </w:tcPr>
          <w:p w14:paraId="28DD6FB0">
            <w:pPr>
              <w:pStyle w:val="28"/>
              <w:spacing w:before="60"/>
              <w:ind w:left="102"/>
              <w:rPr>
                <w:color w:val="auto"/>
                <w:sz w:val="24"/>
                <w:szCs w:val="24"/>
                <w:highlight w:val="none"/>
              </w:rPr>
            </w:pPr>
            <w:r>
              <w:rPr>
                <w:color w:val="auto"/>
                <w:sz w:val="24"/>
                <w:szCs w:val="24"/>
                <w:highlight w:val="none"/>
              </w:rPr>
              <w:t>签订时间</w:t>
            </w:r>
          </w:p>
        </w:tc>
      </w:tr>
      <w:tr w14:paraId="66CA0E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242" w:type="dxa"/>
          </w:tcPr>
          <w:p w14:paraId="3CB9128C">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1</w:t>
            </w:r>
          </w:p>
        </w:tc>
        <w:tc>
          <w:tcPr>
            <w:tcW w:w="2064" w:type="dxa"/>
          </w:tcPr>
          <w:p w14:paraId="43B1C465">
            <w:pPr>
              <w:pStyle w:val="28"/>
              <w:rPr>
                <w:rFonts w:ascii="Times New Roman"/>
                <w:color w:val="auto"/>
                <w:sz w:val="24"/>
                <w:szCs w:val="24"/>
                <w:highlight w:val="none"/>
              </w:rPr>
            </w:pPr>
          </w:p>
        </w:tc>
        <w:tc>
          <w:tcPr>
            <w:tcW w:w="2064" w:type="dxa"/>
          </w:tcPr>
          <w:p w14:paraId="16DC1C06">
            <w:pPr>
              <w:pStyle w:val="28"/>
              <w:rPr>
                <w:rFonts w:ascii="Times New Roman"/>
                <w:color w:val="auto"/>
                <w:sz w:val="24"/>
                <w:szCs w:val="24"/>
                <w:highlight w:val="none"/>
              </w:rPr>
            </w:pPr>
          </w:p>
        </w:tc>
        <w:tc>
          <w:tcPr>
            <w:tcW w:w="2064" w:type="dxa"/>
          </w:tcPr>
          <w:p w14:paraId="63366D2F">
            <w:pPr>
              <w:pStyle w:val="28"/>
              <w:rPr>
                <w:rFonts w:ascii="Times New Roman"/>
                <w:color w:val="auto"/>
                <w:sz w:val="24"/>
                <w:szCs w:val="24"/>
                <w:highlight w:val="none"/>
              </w:rPr>
            </w:pPr>
          </w:p>
        </w:tc>
        <w:tc>
          <w:tcPr>
            <w:tcW w:w="2064" w:type="dxa"/>
          </w:tcPr>
          <w:p w14:paraId="4A23B592">
            <w:pPr>
              <w:pStyle w:val="28"/>
              <w:rPr>
                <w:rFonts w:ascii="Times New Roman"/>
                <w:color w:val="auto"/>
                <w:sz w:val="24"/>
                <w:szCs w:val="24"/>
                <w:highlight w:val="none"/>
              </w:rPr>
            </w:pPr>
          </w:p>
        </w:tc>
      </w:tr>
      <w:tr w14:paraId="1AA4E5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242" w:type="dxa"/>
          </w:tcPr>
          <w:p w14:paraId="539673EC">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2</w:t>
            </w:r>
          </w:p>
        </w:tc>
        <w:tc>
          <w:tcPr>
            <w:tcW w:w="2064" w:type="dxa"/>
          </w:tcPr>
          <w:p w14:paraId="2392D2A3">
            <w:pPr>
              <w:pStyle w:val="28"/>
              <w:rPr>
                <w:rFonts w:ascii="Times New Roman"/>
                <w:color w:val="auto"/>
                <w:sz w:val="24"/>
                <w:szCs w:val="24"/>
                <w:highlight w:val="none"/>
              </w:rPr>
            </w:pPr>
          </w:p>
        </w:tc>
        <w:tc>
          <w:tcPr>
            <w:tcW w:w="2064" w:type="dxa"/>
          </w:tcPr>
          <w:p w14:paraId="1C9E3AC7">
            <w:pPr>
              <w:pStyle w:val="28"/>
              <w:rPr>
                <w:rFonts w:ascii="Times New Roman"/>
                <w:color w:val="auto"/>
                <w:sz w:val="24"/>
                <w:szCs w:val="24"/>
                <w:highlight w:val="none"/>
              </w:rPr>
            </w:pPr>
          </w:p>
        </w:tc>
        <w:tc>
          <w:tcPr>
            <w:tcW w:w="2064" w:type="dxa"/>
          </w:tcPr>
          <w:p w14:paraId="681F7ECD">
            <w:pPr>
              <w:pStyle w:val="28"/>
              <w:rPr>
                <w:rFonts w:ascii="Times New Roman"/>
                <w:color w:val="auto"/>
                <w:sz w:val="24"/>
                <w:szCs w:val="24"/>
                <w:highlight w:val="none"/>
              </w:rPr>
            </w:pPr>
          </w:p>
        </w:tc>
        <w:tc>
          <w:tcPr>
            <w:tcW w:w="2064" w:type="dxa"/>
          </w:tcPr>
          <w:p w14:paraId="655E48D0">
            <w:pPr>
              <w:pStyle w:val="28"/>
              <w:rPr>
                <w:rFonts w:ascii="Times New Roman"/>
                <w:color w:val="auto"/>
                <w:sz w:val="24"/>
                <w:szCs w:val="24"/>
                <w:highlight w:val="none"/>
              </w:rPr>
            </w:pPr>
          </w:p>
        </w:tc>
      </w:tr>
      <w:tr w14:paraId="610745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242" w:type="dxa"/>
          </w:tcPr>
          <w:p w14:paraId="146FCA85">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3</w:t>
            </w:r>
          </w:p>
        </w:tc>
        <w:tc>
          <w:tcPr>
            <w:tcW w:w="2064" w:type="dxa"/>
          </w:tcPr>
          <w:p w14:paraId="2D2FA391">
            <w:pPr>
              <w:pStyle w:val="28"/>
              <w:rPr>
                <w:rFonts w:ascii="Times New Roman"/>
                <w:color w:val="auto"/>
                <w:sz w:val="24"/>
                <w:szCs w:val="24"/>
                <w:highlight w:val="none"/>
              </w:rPr>
            </w:pPr>
          </w:p>
        </w:tc>
        <w:tc>
          <w:tcPr>
            <w:tcW w:w="2064" w:type="dxa"/>
          </w:tcPr>
          <w:p w14:paraId="51CE6E7D">
            <w:pPr>
              <w:pStyle w:val="28"/>
              <w:rPr>
                <w:rFonts w:ascii="Times New Roman"/>
                <w:color w:val="auto"/>
                <w:sz w:val="24"/>
                <w:szCs w:val="24"/>
                <w:highlight w:val="none"/>
              </w:rPr>
            </w:pPr>
          </w:p>
        </w:tc>
        <w:tc>
          <w:tcPr>
            <w:tcW w:w="2064" w:type="dxa"/>
          </w:tcPr>
          <w:p w14:paraId="78867EDB">
            <w:pPr>
              <w:pStyle w:val="28"/>
              <w:rPr>
                <w:rFonts w:ascii="Times New Roman"/>
                <w:color w:val="auto"/>
                <w:sz w:val="24"/>
                <w:szCs w:val="24"/>
                <w:highlight w:val="none"/>
              </w:rPr>
            </w:pPr>
          </w:p>
        </w:tc>
        <w:tc>
          <w:tcPr>
            <w:tcW w:w="2064" w:type="dxa"/>
          </w:tcPr>
          <w:p w14:paraId="4A16B6C2">
            <w:pPr>
              <w:pStyle w:val="28"/>
              <w:rPr>
                <w:rFonts w:ascii="Times New Roman"/>
                <w:color w:val="auto"/>
                <w:sz w:val="24"/>
                <w:szCs w:val="24"/>
                <w:highlight w:val="none"/>
              </w:rPr>
            </w:pPr>
          </w:p>
        </w:tc>
      </w:tr>
      <w:tr w14:paraId="7A5829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trPr>
        <w:tc>
          <w:tcPr>
            <w:tcW w:w="1242" w:type="dxa"/>
          </w:tcPr>
          <w:p w14:paraId="0503713D">
            <w:pPr>
              <w:pStyle w:val="28"/>
              <w:spacing w:before="24" w:line="337" w:lineRule="exact"/>
              <w:ind w:left="100"/>
              <w:rPr>
                <w:rFonts w:ascii="Meiryo"/>
                <w:color w:val="auto"/>
                <w:sz w:val="24"/>
                <w:szCs w:val="24"/>
                <w:highlight w:val="none"/>
              </w:rPr>
            </w:pPr>
            <w:r>
              <w:rPr>
                <w:rFonts w:ascii="Meiryo"/>
                <w:color w:val="auto"/>
                <w:w w:val="103"/>
                <w:sz w:val="24"/>
                <w:szCs w:val="24"/>
                <w:highlight w:val="none"/>
              </w:rPr>
              <w:t>4</w:t>
            </w:r>
          </w:p>
        </w:tc>
        <w:tc>
          <w:tcPr>
            <w:tcW w:w="2064" w:type="dxa"/>
          </w:tcPr>
          <w:p w14:paraId="4AC3A76C">
            <w:pPr>
              <w:pStyle w:val="28"/>
              <w:rPr>
                <w:rFonts w:ascii="Times New Roman"/>
                <w:color w:val="auto"/>
                <w:sz w:val="24"/>
                <w:szCs w:val="24"/>
                <w:highlight w:val="none"/>
              </w:rPr>
            </w:pPr>
          </w:p>
        </w:tc>
        <w:tc>
          <w:tcPr>
            <w:tcW w:w="2064" w:type="dxa"/>
          </w:tcPr>
          <w:p w14:paraId="389AE49C">
            <w:pPr>
              <w:pStyle w:val="28"/>
              <w:rPr>
                <w:rFonts w:ascii="Times New Roman"/>
                <w:color w:val="auto"/>
                <w:sz w:val="24"/>
                <w:szCs w:val="24"/>
                <w:highlight w:val="none"/>
              </w:rPr>
            </w:pPr>
          </w:p>
        </w:tc>
        <w:tc>
          <w:tcPr>
            <w:tcW w:w="2064" w:type="dxa"/>
          </w:tcPr>
          <w:p w14:paraId="5587A385">
            <w:pPr>
              <w:pStyle w:val="28"/>
              <w:rPr>
                <w:rFonts w:ascii="Times New Roman"/>
                <w:color w:val="auto"/>
                <w:sz w:val="24"/>
                <w:szCs w:val="24"/>
                <w:highlight w:val="none"/>
              </w:rPr>
            </w:pPr>
          </w:p>
        </w:tc>
        <w:tc>
          <w:tcPr>
            <w:tcW w:w="2064" w:type="dxa"/>
          </w:tcPr>
          <w:p w14:paraId="09CB2091">
            <w:pPr>
              <w:pStyle w:val="28"/>
              <w:rPr>
                <w:rFonts w:ascii="Times New Roman"/>
                <w:color w:val="auto"/>
                <w:sz w:val="24"/>
                <w:szCs w:val="24"/>
                <w:highlight w:val="none"/>
              </w:rPr>
            </w:pPr>
          </w:p>
        </w:tc>
      </w:tr>
      <w:tr w14:paraId="2D6519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1242" w:type="dxa"/>
          </w:tcPr>
          <w:p w14:paraId="12B4EC61">
            <w:pPr>
              <w:pStyle w:val="28"/>
              <w:spacing w:before="24" w:line="337" w:lineRule="exact"/>
              <w:ind w:left="100"/>
              <w:rPr>
                <w:rFonts w:ascii="Meiryo" w:hAnsi="Meiryo"/>
                <w:color w:val="auto"/>
                <w:sz w:val="24"/>
                <w:szCs w:val="24"/>
                <w:highlight w:val="none"/>
              </w:rPr>
            </w:pPr>
            <w:r>
              <w:rPr>
                <w:rFonts w:ascii="Meiryo" w:hAnsi="Meiryo"/>
                <w:color w:val="auto"/>
                <w:w w:val="101"/>
                <w:sz w:val="24"/>
                <w:szCs w:val="24"/>
                <w:highlight w:val="none"/>
              </w:rPr>
              <w:t>…</w:t>
            </w:r>
          </w:p>
        </w:tc>
        <w:tc>
          <w:tcPr>
            <w:tcW w:w="2064" w:type="dxa"/>
          </w:tcPr>
          <w:p w14:paraId="5A4972B5">
            <w:pPr>
              <w:pStyle w:val="28"/>
              <w:rPr>
                <w:rFonts w:ascii="Times New Roman"/>
                <w:color w:val="auto"/>
                <w:sz w:val="24"/>
                <w:szCs w:val="24"/>
                <w:highlight w:val="none"/>
              </w:rPr>
            </w:pPr>
          </w:p>
        </w:tc>
        <w:tc>
          <w:tcPr>
            <w:tcW w:w="2064" w:type="dxa"/>
          </w:tcPr>
          <w:p w14:paraId="129F2327">
            <w:pPr>
              <w:pStyle w:val="28"/>
              <w:rPr>
                <w:rFonts w:ascii="Times New Roman"/>
                <w:color w:val="auto"/>
                <w:sz w:val="24"/>
                <w:szCs w:val="24"/>
                <w:highlight w:val="none"/>
              </w:rPr>
            </w:pPr>
          </w:p>
        </w:tc>
        <w:tc>
          <w:tcPr>
            <w:tcW w:w="2064" w:type="dxa"/>
          </w:tcPr>
          <w:p w14:paraId="70BA98E5">
            <w:pPr>
              <w:pStyle w:val="28"/>
              <w:rPr>
                <w:rFonts w:ascii="Times New Roman"/>
                <w:color w:val="auto"/>
                <w:sz w:val="24"/>
                <w:szCs w:val="24"/>
                <w:highlight w:val="none"/>
              </w:rPr>
            </w:pPr>
          </w:p>
        </w:tc>
        <w:tc>
          <w:tcPr>
            <w:tcW w:w="2064" w:type="dxa"/>
          </w:tcPr>
          <w:p w14:paraId="7BA025D5">
            <w:pPr>
              <w:pStyle w:val="28"/>
              <w:rPr>
                <w:rFonts w:ascii="Times New Roman"/>
                <w:color w:val="auto"/>
                <w:sz w:val="24"/>
                <w:szCs w:val="24"/>
                <w:highlight w:val="none"/>
              </w:rPr>
            </w:pPr>
          </w:p>
        </w:tc>
      </w:tr>
    </w:tbl>
    <w:p w14:paraId="1DCC7262">
      <w:pPr>
        <w:pStyle w:val="5"/>
        <w:spacing w:before="122" w:line="240" w:lineRule="auto"/>
        <w:ind w:left="706" w:right="391"/>
        <w:jc w:val="center"/>
        <w:rPr>
          <w:color w:val="auto"/>
          <w:highlight w:val="none"/>
        </w:rPr>
      </w:pPr>
      <w:r>
        <w:rPr>
          <w:color w:val="auto"/>
          <w:highlight w:val="none"/>
        </w:rPr>
        <w:t>供应商根据上述业绩情况后附销售或服务合同复印件。</w:t>
      </w:r>
    </w:p>
    <w:p w14:paraId="5F08EAF0">
      <w:pPr>
        <w:spacing w:after="0" w:line="240" w:lineRule="auto"/>
        <w:jc w:val="center"/>
        <w:rPr>
          <w:color w:val="auto"/>
          <w:highlight w:val="none"/>
        </w:rPr>
        <w:sectPr>
          <w:pgSz w:w="11900" w:h="16840"/>
          <w:pgMar w:top="1599" w:right="1259" w:bottom="1599" w:left="1259" w:header="720" w:footer="91" w:gutter="0"/>
          <w:pgNumType w:fmt="decimal"/>
          <w:cols w:space="0" w:num="1"/>
          <w:rtlGutter w:val="0"/>
          <w:docGrid w:linePitch="0" w:charSpace="0"/>
        </w:sectPr>
      </w:pPr>
    </w:p>
    <w:p w14:paraId="15030B30">
      <w:pPr>
        <w:pStyle w:val="9"/>
        <w:spacing w:before="6"/>
        <w:ind w:left="0"/>
        <w:rPr>
          <w:color w:val="auto"/>
          <w:sz w:val="18"/>
          <w:highlight w:val="none"/>
        </w:rPr>
      </w:pPr>
    </w:p>
    <w:p w14:paraId="43C9A5FE">
      <w:pPr>
        <w:pStyle w:val="4"/>
        <w:spacing w:before="76"/>
        <w:ind w:left="0" w:leftChars="0" w:firstLine="0" w:firstLineChars="0"/>
        <w:jc w:val="center"/>
        <w:rPr>
          <w:color w:val="auto"/>
          <w:sz w:val="28"/>
          <w:szCs w:val="28"/>
          <w:highlight w:val="none"/>
        </w:rPr>
      </w:pPr>
      <w:bookmarkStart w:id="385" w:name="_Toc19275"/>
      <w:bookmarkStart w:id="386" w:name="_Toc23223"/>
      <w:bookmarkStart w:id="387" w:name="_Toc11290"/>
      <w:bookmarkStart w:id="388" w:name="_Toc7842"/>
      <w:bookmarkStart w:id="389" w:name="_Toc16040"/>
      <w:r>
        <w:rPr>
          <w:color w:val="auto"/>
          <w:sz w:val="28"/>
          <w:szCs w:val="28"/>
          <w:highlight w:val="none"/>
        </w:rPr>
        <w:t>二十一、其他证明材料</w:t>
      </w:r>
      <w:bookmarkEnd w:id="385"/>
      <w:bookmarkEnd w:id="386"/>
      <w:bookmarkEnd w:id="387"/>
      <w:bookmarkEnd w:id="388"/>
      <w:bookmarkEnd w:id="389"/>
    </w:p>
    <w:p w14:paraId="42BA8DAD">
      <w:pPr>
        <w:pStyle w:val="27"/>
        <w:numPr>
          <w:ilvl w:val="0"/>
          <w:numId w:val="24"/>
        </w:numPr>
        <w:tabs>
          <w:tab w:val="left" w:pos="673"/>
        </w:tabs>
        <w:spacing w:before="74" w:after="0" w:line="240" w:lineRule="auto"/>
        <w:ind w:left="672" w:right="0" w:hanging="183"/>
        <w:jc w:val="center"/>
        <w:rPr>
          <w:color w:val="auto"/>
          <w:sz w:val="24"/>
          <w:szCs w:val="24"/>
          <w:highlight w:val="none"/>
        </w:rPr>
      </w:pPr>
      <w:r>
        <w:rPr>
          <w:color w:val="auto"/>
          <w:sz w:val="24"/>
          <w:szCs w:val="24"/>
          <w:highlight w:val="none"/>
        </w:rPr>
        <w:t>磋商文件要求提供的其他资料。</w:t>
      </w:r>
    </w:p>
    <w:p w14:paraId="17A7DD57">
      <w:pPr>
        <w:pStyle w:val="27"/>
        <w:numPr>
          <w:ilvl w:val="0"/>
          <w:numId w:val="24"/>
        </w:numPr>
        <w:tabs>
          <w:tab w:val="left" w:pos="673"/>
        </w:tabs>
        <w:spacing w:before="16" w:after="0" w:line="240" w:lineRule="auto"/>
        <w:ind w:left="672" w:right="0" w:hanging="183"/>
        <w:jc w:val="center"/>
        <w:rPr>
          <w:color w:val="auto"/>
          <w:highlight w:val="none"/>
        </w:rPr>
        <w:sectPr>
          <w:pgSz w:w="11900" w:h="16840"/>
          <w:pgMar w:top="1599" w:right="1259" w:bottom="1599" w:left="1259" w:header="720" w:footer="91" w:gutter="0"/>
          <w:pgNumType w:fmt="decimal"/>
          <w:cols w:space="0" w:num="1"/>
          <w:rtlGutter w:val="0"/>
          <w:docGrid w:linePitch="0" w:charSpace="0"/>
        </w:sectPr>
      </w:pPr>
      <w:r>
        <w:rPr>
          <w:color w:val="auto"/>
          <w:sz w:val="24"/>
          <w:szCs w:val="24"/>
          <w:highlight w:val="none"/>
        </w:rPr>
        <w:t>供应商认为需提供的其他资料</w:t>
      </w:r>
    </w:p>
    <w:p w14:paraId="5A07E8E4">
      <w:pPr>
        <w:rPr>
          <w:color w:val="auto"/>
          <w:highlight w:val="none"/>
        </w:rPr>
      </w:pPr>
    </w:p>
    <w:sectPr>
      <w:footerReference r:id="rId10" w:type="default"/>
      <w:pgSz w:w="11900" w:h="16840"/>
      <w:pgMar w:top="1599" w:right="1259" w:bottom="1599" w:left="1259" w:header="720" w:footer="91"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Meiryo">
    <w:altName w:val="Yu Gothic UI"/>
    <w:panose1 w:val="020B0604030504040204"/>
    <w:charset w:val="80"/>
    <w:family w:val="swiss"/>
    <w:pitch w:val="default"/>
    <w:sig w:usb0="00000000" w:usb1="00000000" w:usb2="00010012" w:usb3="00000000" w:csb0="6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89556">
    <w:pPr>
      <w:pStyle w:val="9"/>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99CED9">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99CED9">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0B9DE">
    <w:pPr>
      <w:pStyle w:val="9"/>
      <w:spacing w:line="14" w:lineRule="auto"/>
      <w:ind w:left="0"/>
      <w:rPr>
        <w:sz w:val="20"/>
      </w:rPr>
    </w:pPr>
    <w:r>
      <w:rPr>
        <w:sz w:val="19"/>
      </w:rPr>
      <mc:AlternateContent>
        <mc:Choice Requires="wps">
          <w:drawing>
            <wp:anchor distT="0" distB="0" distL="114300" distR="114300" simplePos="0" relativeHeight="251661312" behindDoc="0" locked="0" layoutInCell="1" allowOverlap="1">
              <wp:simplePos x="0" y="0"/>
              <wp:positionH relativeFrom="margin">
                <wp:posOffset>2947035</wp:posOffset>
              </wp:positionH>
              <wp:positionV relativeFrom="paragraph">
                <wp:posOffset>-472440</wp:posOffset>
              </wp:positionV>
              <wp:extent cx="177165" cy="6267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77165" cy="626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275628">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2.05pt;margin-top:-37.2pt;height:49.35pt;width:13.95pt;mso-position-horizontal-relative:margin;z-index:251661312;mso-width-relative:page;mso-height-relative:page;" filled="f" stroked="f" coordsize="21600,21600" o:gfxdata="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Q2+6KtkAAAAKAQAADwAAAAAAAAABACAAAAAiAAAAZHJzL2Rvd25y&#10;ZXYueG1sUEsBAhQAFAAAAAgAh07iQPk1m8U2AgAAYQQAAA4AAAAAAAAAAQAgAAAAKAEAAGRycy9l&#10;Mm9Eb2MueG1sUEsFBgAAAAAGAAYAWQEAANAFAAAAAA==&#10;">
              <v:fill on="f" focussize="0,0"/>
              <v:stroke on="f" weight="0.5pt"/>
              <v:imagedata o:title=""/>
              <o:lock v:ext="edit" aspectratio="f"/>
              <v:textbox inset="0mm,0mm,0mm,0mm">
                <w:txbxContent>
                  <w:p w14:paraId="53275628">
                    <w:pPr>
                      <w:pStyle w:val="13"/>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3506470</wp:posOffset>
              </wp:positionH>
              <wp:positionV relativeFrom="page">
                <wp:posOffset>10160000</wp:posOffset>
              </wp:positionV>
              <wp:extent cx="575945" cy="537845"/>
              <wp:effectExtent l="0" t="0" r="0" b="0"/>
              <wp:wrapNone/>
              <wp:docPr id="6" name="文本框 6"/>
              <wp:cNvGraphicFramePr/>
              <a:graphic xmlns:a="http://schemas.openxmlformats.org/drawingml/2006/main">
                <a:graphicData uri="http://schemas.microsoft.com/office/word/2010/wordprocessingShape">
                  <wps:wsp>
                    <wps:cNvSpPr txBox="1"/>
                    <wps:spPr>
                      <a:xfrm>
                        <a:off x="0" y="0"/>
                        <a:ext cx="575945" cy="537845"/>
                      </a:xfrm>
                      <a:prstGeom prst="rect">
                        <a:avLst/>
                      </a:prstGeom>
                      <a:noFill/>
                      <a:ln>
                        <a:noFill/>
                      </a:ln>
                    </wps:spPr>
                    <wps:txbx>
                      <w:txbxContent>
                        <w:p w14:paraId="6E3CA130">
                          <w:pPr>
                            <w:spacing w:before="0" w:line="319" w:lineRule="exact"/>
                            <w:ind w:left="20" w:right="0" w:firstLine="0"/>
                            <w:jc w:val="left"/>
                            <w:rPr>
                              <w:rFonts w:hint="eastAsia" w:ascii="Meiryo" w:eastAsia="Meiryo"/>
                              <w:sz w:val="24"/>
                            </w:rPr>
                          </w:pPr>
                        </w:p>
                      </w:txbxContent>
                    </wps:txbx>
                    <wps:bodyPr lIns="0" tIns="0" rIns="0" bIns="0" upright="1"/>
                  </wps:wsp>
                </a:graphicData>
              </a:graphic>
            </wp:anchor>
          </w:drawing>
        </mc:Choice>
        <mc:Fallback>
          <w:pict>
            <v:shape id="_x0000_s1026" o:spid="_x0000_s1026" o:spt="202" type="#_x0000_t202" style="position:absolute;left:0pt;margin-left:276.1pt;margin-top:800pt;height:42.35pt;width:45.35pt;mso-position-horizontal-relative:page;mso-position-vertical-relative:page;z-index:-251657216;mso-width-relative:page;mso-height-relative:page;" filled="f" stroked="f" coordsize="21600,21600" o:gfxdata="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JQ3uhdoAAAANAQAADwAAAAAAAAABACAAAAAiAAAAZHJzL2Rvd25yZXYueG1sUEsB&#10;AhQAFAAAAAgAh07iQJ6Zx5m6AQAAcQMAAA4AAAAAAAAAAQAgAAAAKQEAAGRycy9lMm9Eb2MueG1s&#10;UEsFBgAAAAAGAAYAWQEAAFUFAAAAAA==&#10;">
              <v:fill on="f" focussize="0,0"/>
              <v:stroke on="f"/>
              <v:imagedata o:title=""/>
              <o:lock v:ext="edit" aspectratio="f"/>
              <v:textbox inset="0mm,0mm,0mm,0mm">
                <w:txbxContent>
                  <w:p w14:paraId="6E3CA130">
                    <w:pPr>
                      <w:spacing w:before="0" w:line="319" w:lineRule="exact"/>
                      <w:ind w:left="20" w:right="0" w:firstLine="0"/>
                      <w:jc w:val="left"/>
                      <w:rPr>
                        <w:rFonts w:hint="eastAsia" w:ascii="Meiryo" w:eastAsia="Meiryo"/>
                        <w:sz w:val="24"/>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B070D">
    <w:pPr>
      <w:pStyle w:val="9"/>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posOffset>2947035</wp:posOffset>
              </wp:positionH>
              <wp:positionV relativeFrom="paragraph">
                <wp:posOffset>-456565</wp:posOffset>
              </wp:positionV>
              <wp:extent cx="299720" cy="61087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99720" cy="6108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5FEF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2.05pt;margin-top:-35.95pt;height:48.1pt;width:23.6pt;mso-position-horizontal-relative:margin;z-index:251662336;mso-width-relative:page;mso-height-relative:page;" filled="f" stroked="f" coordsize="21600,21600" o:gfxdata="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gR9vOtoAAAAKAQAADwAAAAAAAAABACAAAAAiAAAAZHJzL2Rvd25y&#10;ZXYueG1sUEsBAhQAFAAAAAgAh07iQFui1kU1AgAAYQQAAA4AAAAAAAAAAQAgAAAAKQEAAGRycy9l&#10;Mm9Eb2MueG1sUEsFBgAAAAAGAAYAWQEAANAFAAAAAA==&#10;">
              <v:fill on="f" focussize="0,0"/>
              <v:stroke on="f" weight="0.5pt"/>
              <v:imagedata o:title=""/>
              <o:lock v:ext="edit" aspectratio="f"/>
              <v:textbox inset="0mm,0mm,0mm,0mm">
                <w:txbxContent>
                  <w:p w14:paraId="2925FEF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1C679">
    <w:pPr>
      <w:pStyle w:val="9"/>
      <w:spacing w:line="14" w:lineRule="auto"/>
      <w:ind w:left="0"/>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posOffset>2947035</wp:posOffset>
              </wp:positionH>
              <wp:positionV relativeFrom="paragraph">
                <wp:posOffset>-380365</wp:posOffset>
              </wp:positionV>
              <wp:extent cx="238125" cy="53467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38125" cy="5346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C2FBC8">
                          <w:pPr>
                            <w:pStyle w:val="1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32.05pt;margin-top:-29.95pt;height:42.1pt;width:18.75pt;mso-position-horizontal-relative:margin;z-index:251663360;mso-width-relative:page;mso-height-relative:page;" filled="f" stroked="f" coordsize="21600,21600" o:gfxdata="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WuZjStkAAAAKAQAADwAAAAAAAAABACAAAAAiAAAAZHJzL2Rvd25y&#10;ZXYueG1sUEsBAhQAFAAAAAgAh07iQI+8CUI2AgAAYQQAAA4AAAAAAAAAAQAgAAAAKAEAAGRycy9l&#10;Mm9Eb2MueG1sUEsFBgAAAAAGAAYAWQEAANAFAAAAAA==&#10;">
              <v:fill on="f" focussize="0,0"/>
              <v:stroke on="f" weight="0.5pt"/>
              <v:imagedata o:title=""/>
              <o:lock v:ext="edit" aspectratio="f"/>
              <v:textbox inset="0mm,0mm,0mm,0mm">
                <w:txbxContent>
                  <w:p w14:paraId="41C2FBC8">
                    <w:pPr>
                      <w:pStyle w:val="1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2DAE6">
    <w:pPr>
      <w:pStyle w:val="9"/>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6FB88">
    <w:pPr>
      <w:pStyle w:val="14"/>
      <w:tabs>
        <w:tab w:val="center" w:pos="4320"/>
        <w:tab w:val="right" w:pos="8640"/>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61FADE"/>
    <w:multiLevelType w:val="multilevel"/>
    <w:tmpl w:val="8461FADE"/>
    <w:lvl w:ilvl="0" w:tentative="0">
      <w:start w:val="1"/>
      <w:numFmt w:val="decimal"/>
      <w:lvlText w:val="%1."/>
      <w:lvlJc w:val="left"/>
      <w:pPr>
        <w:ind w:left="672" w:hanging="183"/>
        <w:jc w:val="left"/>
      </w:pPr>
      <w:rPr>
        <w:rFonts w:hint="default" w:ascii="Meiryo" w:hAnsi="Meiryo" w:eastAsia="Meiryo" w:cs="Meiryo"/>
        <w:spacing w:val="-3"/>
        <w:w w:val="92"/>
        <w:sz w:val="17"/>
        <w:szCs w:val="17"/>
        <w:lang w:val="en-US" w:eastAsia="zh-CN" w:bidi="ar-SA"/>
      </w:rPr>
    </w:lvl>
    <w:lvl w:ilvl="1" w:tentative="0">
      <w:start w:val="0"/>
      <w:numFmt w:val="bullet"/>
      <w:lvlText w:val="•"/>
      <w:lvlJc w:val="left"/>
      <w:pPr>
        <w:ind w:left="1694" w:hanging="183"/>
      </w:pPr>
      <w:rPr>
        <w:rFonts w:hint="default"/>
        <w:lang w:val="en-US" w:eastAsia="zh-CN" w:bidi="ar-SA"/>
      </w:rPr>
    </w:lvl>
    <w:lvl w:ilvl="2" w:tentative="0">
      <w:start w:val="0"/>
      <w:numFmt w:val="bullet"/>
      <w:lvlText w:val="•"/>
      <w:lvlJc w:val="left"/>
      <w:pPr>
        <w:ind w:left="2708" w:hanging="183"/>
      </w:pPr>
      <w:rPr>
        <w:rFonts w:hint="default"/>
        <w:lang w:val="en-US" w:eastAsia="zh-CN" w:bidi="ar-SA"/>
      </w:rPr>
    </w:lvl>
    <w:lvl w:ilvl="3" w:tentative="0">
      <w:start w:val="0"/>
      <w:numFmt w:val="bullet"/>
      <w:lvlText w:val="•"/>
      <w:lvlJc w:val="left"/>
      <w:pPr>
        <w:ind w:left="3722" w:hanging="183"/>
      </w:pPr>
      <w:rPr>
        <w:rFonts w:hint="default"/>
        <w:lang w:val="en-US" w:eastAsia="zh-CN" w:bidi="ar-SA"/>
      </w:rPr>
    </w:lvl>
    <w:lvl w:ilvl="4" w:tentative="0">
      <w:start w:val="0"/>
      <w:numFmt w:val="bullet"/>
      <w:lvlText w:val="•"/>
      <w:lvlJc w:val="left"/>
      <w:pPr>
        <w:ind w:left="4736" w:hanging="183"/>
      </w:pPr>
      <w:rPr>
        <w:rFonts w:hint="default"/>
        <w:lang w:val="en-US" w:eastAsia="zh-CN" w:bidi="ar-SA"/>
      </w:rPr>
    </w:lvl>
    <w:lvl w:ilvl="5" w:tentative="0">
      <w:start w:val="0"/>
      <w:numFmt w:val="bullet"/>
      <w:lvlText w:val="•"/>
      <w:lvlJc w:val="left"/>
      <w:pPr>
        <w:ind w:left="5750" w:hanging="183"/>
      </w:pPr>
      <w:rPr>
        <w:rFonts w:hint="default"/>
        <w:lang w:val="en-US" w:eastAsia="zh-CN" w:bidi="ar-SA"/>
      </w:rPr>
    </w:lvl>
    <w:lvl w:ilvl="6" w:tentative="0">
      <w:start w:val="0"/>
      <w:numFmt w:val="bullet"/>
      <w:lvlText w:val="•"/>
      <w:lvlJc w:val="left"/>
      <w:pPr>
        <w:ind w:left="6764" w:hanging="183"/>
      </w:pPr>
      <w:rPr>
        <w:rFonts w:hint="default"/>
        <w:lang w:val="en-US" w:eastAsia="zh-CN" w:bidi="ar-SA"/>
      </w:rPr>
    </w:lvl>
    <w:lvl w:ilvl="7" w:tentative="0">
      <w:start w:val="0"/>
      <w:numFmt w:val="bullet"/>
      <w:lvlText w:val="•"/>
      <w:lvlJc w:val="left"/>
      <w:pPr>
        <w:ind w:left="7778" w:hanging="183"/>
      </w:pPr>
      <w:rPr>
        <w:rFonts w:hint="default"/>
        <w:lang w:val="en-US" w:eastAsia="zh-CN" w:bidi="ar-SA"/>
      </w:rPr>
    </w:lvl>
    <w:lvl w:ilvl="8" w:tentative="0">
      <w:start w:val="0"/>
      <w:numFmt w:val="bullet"/>
      <w:lvlText w:val="•"/>
      <w:lvlJc w:val="left"/>
      <w:pPr>
        <w:ind w:left="8792" w:hanging="183"/>
      </w:pPr>
      <w:rPr>
        <w:rFonts w:hint="default"/>
        <w:lang w:val="en-US" w:eastAsia="zh-CN" w:bidi="ar-SA"/>
      </w:rPr>
    </w:lvl>
  </w:abstractNum>
  <w:abstractNum w:abstractNumId="1">
    <w:nsid w:val="856F984B"/>
    <w:multiLevelType w:val="singleLevel"/>
    <w:tmpl w:val="856F984B"/>
    <w:lvl w:ilvl="0" w:tentative="0">
      <w:start w:val="1"/>
      <w:numFmt w:val="chineseCounting"/>
      <w:suff w:val="nothing"/>
      <w:lvlText w:val="%1、"/>
      <w:lvlJc w:val="left"/>
      <w:rPr>
        <w:rFonts w:hint="eastAsia"/>
      </w:rPr>
    </w:lvl>
  </w:abstractNum>
  <w:abstractNum w:abstractNumId="2">
    <w:nsid w:val="8B38DCC1"/>
    <w:multiLevelType w:val="singleLevel"/>
    <w:tmpl w:val="8B38DCC1"/>
    <w:lvl w:ilvl="0" w:tentative="0">
      <w:start w:val="15"/>
      <w:numFmt w:val="chineseCounting"/>
      <w:suff w:val="nothing"/>
      <w:lvlText w:val="%1、"/>
      <w:lvlJc w:val="left"/>
      <w:rPr>
        <w:rFonts w:hint="eastAsia"/>
      </w:rPr>
    </w:lvl>
  </w:abstractNum>
  <w:abstractNum w:abstractNumId="3">
    <w:nsid w:val="9239341B"/>
    <w:multiLevelType w:val="multilevel"/>
    <w:tmpl w:val="9239341B"/>
    <w:lvl w:ilvl="0" w:tentative="0">
      <w:start w:val="1"/>
      <w:numFmt w:val="decimal"/>
      <w:lvlText w:val="%1."/>
      <w:lvlJc w:val="left"/>
      <w:pPr>
        <w:ind w:left="777" w:hanging="240"/>
        <w:jc w:val="left"/>
      </w:pPr>
      <w:rPr>
        <w:rFonts w:hint="default" w:ascii="Lucida Sans Unicode" w:hAnsi="Lucida Sans Unicode" w:eastAsia="Lucida Sans Unicode" w:cs="Lucida Sans Unicode"/>
        <w:spacing w:val="-5"/>
        <w:w w:val="113"/>
        <w:sz w:val="19"/>
        <w:szCs w:val="19"/>
        <w:lang w:val="en-US" w:eastAsia="zh-CN" w:bidi="ar-SA"/>
      </w:rPr>
    </w:lvl>
    <w:lvl w:ilvl="1" w:tentative="0">
      <w:start w:val="1"/>
      <w:numFmt w:val="decimal"/>
      <w:lvlText w:val="%1.%2"/>
      <w:lvlJc w:val="left"/>
      <w:pPr>
        <w:ind w:left="793" w:hanging="304"/>
        <w:jc w:val="left"/>
      </w:pPr>
      <w:rPr>
        <w:rFonts w:hint="default" w:ascii="Meiryo" w:hAnsi="Meiryo" w:eastAsia="Meiryo" w:cs="Meiryo"/>
        <w:spacing w:val="-3"/>
        <w:w w:val="92"/>
        <w:sz w:val="17"/>
        <w:szCs w:val="17"/>
        <w:lang w:val="en-US" w:eastAsia="zh-CN" w:bidi="ar-SA"/>
      </w:rPr>
    </w:lvl>
    <w:lvl w:ilvl="2" w:tentative="0">
      <w:start w:val="0"/>
      <w:numFmt w:val="bullet"/>
      <w:lvlText w:val="•"/>
      <w:lvlJc w:val="left"/>
      <w:pPr>
        <w:ind w:left="800" w:hanging="304"/>
      </w:pPr>
      <w:rPr>
        <w:rFonts w:hint="default"/>
        <w:lang w:val="en-US" w:eastAsia="zh-CN" w:bidi="ar-SA"/>
      </w:rPr>
    </w:lvl>
    <w:lvl w:ilvl="3" w:tentative="0">
      <w:start w:val="0"/>
      <w:numFmt w:val="bullet"/>
      <w:lvlText w:val="•"/>
      <w:lvlJc w:val="left"/>
      <w:pPr>
        <w:ind w:left="2052" w:hanging="304"/>
      </w:pPr>
      <w:rPr>
        <w:rFonts w:hint="default"/>
        <w:lang w:val="en-US" w:eastAsia="zh-CN" w:bidi="ar-SA"/>
      </w:rPr>
    </w:lvl>
    <w:lvl w:ilvl="4" w:tentative="0">
      <w:start w:val="0"/>
      <w:numFmt w:val="bullet"/>
      <w:lvlText w:val="•"/>
      <w:lvlJc w:val="left"/>
      <w:pPr>
        <w:ind w:left="3305" w:hanging="304"/>
      </w:pPr>
      <w:rPr>
        <w:rFonts w:hint="default"/>
        <w:lang w:val="en-US" w:eastAsia="zh-CN" w:bidi="ar-SA"/>
      </w:rPr>
    </w:lvl>
    <w:lvl w:ilvl="5" w:tentative="0">
      <w:start w:val="0"/>
      <w:numFmt w:val="bullet"/>
      <w:lvlText w:val="•"/>
      <w:lvlJc w:val="left"/>
      <w:pPr>
        <w:ind w:left="4557" w:hanging="304"/>
      </w:pPr>
      <w:rPr>
        <w:rFonts w:hint="default"/>
        <w:lang w:val="en-US" w:eastAsia="zh-CN" w:bidi="ar-SA"/>
      </w:rPr>
    </w:lvl>
    <w:lvl w:ilvl="6" w:tentative="0">
      <w:start w:val="0"/>
      <w:numFmt w:val="bullet"/>
      <w:lvlText w:val="•"/>
      <w:lvlJc w:val="left"/>
      <w:pPr>
        <w:ind w:left="5810" w:hanging="304"/>
      </w:pPr>
      <w:rPr>
        <w:rFonts w:hint="default"/>
        <w:lang w:val="en-US" w:eastAsia="zh-CN" w:bidi="ar-SA"/>
      </w:rPr>
    </w:lvl>
    <w:lvl w:ilvl="7" w:tentative="0">
      <w:start w:val="0"/>
      <w:numFmt w:val="bullet"/>
      <w:lvlText w:val="•"/>
      <w:lvlJc w:val="left"/>
      <w:pPr>
        <w:ind w:left="7062" w:hanging="304"/>
      </w:pPr>
      <w:rPr>
        <w:rFonts w:hint="default"/>
        <w:lang w:val="en-US" w:eastAsia="zh-CN" w:bidi="ar-SA"/>
      </w:rPr>
    </w:lvl>
    <w:lvl w:ilvl="8" w:tentative="0">
      <w:start w:val="0"/>
      <w:numFmt w:val="bullet"/>
      <w:lvlText w:val="•"/>
      <w:lvlJc w:val="left"/>
      <w:pPr>
        <w:ind w:left="8315" w:hanging="304"/>
      </w:pPr>
      <w:rPr>
        <w:rFonts w:hint="default"/>
        <w:lang w:val="en-US" w:eastAsia="zh-CN" w:bidi="ar-SA"/>
      </w:rPr>
    </w:lvl>
  </w:abstractNum>
  <w:abstractNum w:abstractNumId="4">
    <w:nsid w:val="9C8AC8EF"/>
    <w:multiLevelType w:val="multilevel"/>
    <w:tmpl w:val="9C8AC8EF"/>
    <w:lvl w:ilvl="0" w:tentative="0">
      <w:start w:val="1"/>
      <w:numFmt w:val="decimal"/>
      <w:lvlText w:val="%1."/>
      <w:lvlJc w:val="left"/>
      <w:pPr>
        <w:ind w:left="777" w:hanging="240"/>
        <w:jc w:val="left"/>
      </w:pPr>
      <w:rPr>
        <w:rFonts w:hint="default" w:ascii="Lucida Sans Unicode" w:hAnsi="Lucida Sans Unicode" w:eastAsia="Lucida Sans Unicode" w:cs="Lucida Sans Unicode"/>
        <w:spacing w:val="-5"/>
        <w:w w:val="113"/>
        <w:sz w:val="19"/>
        <w:szCs w:val="19"/>
        <w:lang w:val="en-US" w:eastAsia="zh-CN" w:bidi="ar-SA"/>
      </w:rPr>
    </w:lvl>
    <w:lvl w:ilvl="1" w:tentative="0">
      <w:start w:val="1"/>
      <w:numFmt w:val="decimal"/>
      <w:lvlText w:val="%1.%2"/>
      <w:lvlJc w:val="left"/>
      <w:pPr>
        <w:ind w:left="793" w:hanging="304"/>
        <w:jc w:val="left"/>
      </w:pPr>
      <w:rPr>
        <w:rFonts w:hint="default" w:ascii="Meiryo" w:hAnsi="Meiryo" w:eastAsia="Meiryo" w:cs="Meiryo"/>
        <w:spacing w:val="-3"/>
        <w:w w:val="92"/>
        <w:sz w:val="17"/>
        <w:szCs w:val="17"/>
        <w:lang w:val="en-US" w:eastAsia="zh-CN" w:bidi="ar-SA"/>
      </w:rPr>
    </w:lvl>
    <w:lvl w:ilvl="2" w:tentative="0">
      <w:start w:val="0"/>
      <w:numFmt w:val="bullet"/>
      <w:lvlText w:val="•"/>
      <w:lvlJc w:val="left"/>
      <w:pPr>
        <w:ind w:left="1913" w:hanging="304"/>
      </w:pPr>
      <w:rPr>
        <w:rFonts w:hint="default"/>
        <w:lang w:val="en-US" w:eastAsia="zh-CN" w:bidi="ar-SA"/>
      </w:rPr>
    </w:lvl>
    <w:lvl w:ilvl="3" w:tentative="0">
      <w:start w:val="0"/>
      <w:numFmt w:val="bullet"/>
      <w:lvlText w:val="•"/>
      <w:lvlJc w:val="left"/>
      <w:pPr>
        <w:ind w:left="3026" w:hanging="304"/>
      </w:pPr>
      <w:rPr>
        <w:rFonts w:hint="default"/>
        <w:lang w:val="en-US" w:eastAsia="zh-CN" w:bidi="ar-SA"/>
      </w:rPr>
    </w:lvl>
    <w:lvl w:ilvl="4" w:tentative="0">
      <w:start w:val="0"/>
      <w:numFmt w:val="bullet"/>
      <w:lvlText w:val="•"/>
      <w:lvlJc w:val="left"/>
      <w:pPr>
        <w:ind w:left="4140" w:hanging="304"/>
      </w:pPr>
      <w:rPr>
        <w:rFonts w:hint="default"/>
        <w:lang w:val="en-US" w:eastAsia="zh-CN" w:bidi="ar-SA"/>
      </w:rPr>
    </w:lvl>
    <w:lvl w:ilvl="5" w:tentative="0">
      <w:start w:val="0"/>
      <w:numFmt w:val="bullet"/>
      <w:lvlText w:val="•"/>
      <w:lvlJc w:val="left"/>
      <w:pPr>
        <w:ind w:left="5253" w:hanging="304"/>
      </w:pPr>
      <w:rPr>
        <w:rFonts w:hint="default"/>
        <w:lang w:val="en-US" w:eastAsia="zh-CN" w:bidi="ar-SA"/>
      </w:rPr>
    </w:lvl>
    <w:lvl w:ilvl="6" w:tentative="0">
      <w:start w:val="0"/>
      <w:numFmt w:val="bullet"/>
      <w:lvlText w:val="•"/>
      <w:lvlJc w:val="left"/>
      <w:pPr>
        <w:ind w:left="6366" w:hanging="304"/>
      </w:pPr>
      <w:rPr>
        <w:rFonts w:hint="default"/>
        <w:lang w:val="en-US" w:eastAsia="zh-CN" w:bidi="ar-SA"/>
      </w:rPr>
    </w:lvl>
    <w:lvl w:ilvl="7" w:tentative="0">
      <w:start w:val="0"/>
      <w:numFmt w:val="bullet"/>
      <w:lvlText w:val="•"/>
      <w:lvlJc w:val="left"/>
      <w:pPr>
        <w:ind w:left="7480" w:hanging="304"/>
      </w:pPr>
      <w:rPr>
        <w:rFonts w:hint="default"/>
        <w:lang w:val="en-US" w:eastAsia="zh-CN" w:bidi="ar-SA"/>
      </w:rPr>
    </w:lvl>
    <w:lvl w:ilvl="8" w:tentative="0">
      <w:start w:val="0"/>
      <w:numFmt w:val="bullet"/>
      <w:lvlText w:val="•"/>
      <w:lvlJc w:val="left"/>
      <w:pPr>
        <w:ind w:left="8593" w:hanging="304"/>
      </w:pPr>
      <w:rPr>
        <w:rFonts w:hint="default"/>
        <w:lang w:val="en-US" w:eastAsia="zh-CN" w:bidi="ar-SA"/>
      </w:rPr>
    </w:lvl>
  </w:abstractNum>
  <w:abstractNum w:abstractNumId="5">
    <w:nsid w:val="B0F1ACD9"/>
    <w:multiLevelType w:val="multilevel"/>
    <w:tmpl w:val="B0F1ACD9"/>
    <w:lvl w:ilvl="0" w:tentative="0">
      <w:start w:val="1"/>
      <w:numFmt w:val="decimal"/>
      <w:lvlText w:val="%1."/>
      <w:lvlJc w:val="left"/>
      <w:pPr>
        <w:ind w:left="282" w:hanging="183"/>
        <w:jc w:val="left"/>
      </w:pPr>
      <w:rPr>
        <w:rFonts w:hint="default" w:ascii="Meiryo" w:hAnsi="Meiryo" w:eastAsia="Meiryo" w:cs="Meiryo"/>
        <w:spacing w:val="-3"/>
        <w:w w:val="92"/>
        <w:sz w:val="17"/>
        <w:szCs w:val="17"/>
        <w:lang w:val="en-US" w:eastAsia="zh-CN" w:bidi="ar-SA"/>
      </w:rPr>
    </w:lvl>
    <w:lvl w:ilvl="1" w:tentative="0">
      <w:start w:val="0"/>
      <w:numFmt w:val="bullet"/>
      <w:lvlText w:val="•"/>
      <w:lvlJc w:val="left"/>
      <w:pPr>
        <w:ind w:left="1074" w:hanging="183"/>
      </w:pPr>
      <w:rPr>
        <w:rFonts w:hint="default"/>
        <w:lang w:val="en-US" w:eastAsia="zh-CN" w:bidi="ar-SA"/>
      </w:rPr>
    </w:lvl>
    <w:lvl w:ilvl="2" w:tentative="0">
      <w:start w:val="0"/>
      <w:numFmt w:val="bullet"/>
      <w:lvlText w:val="•"/>
      <w:lvlJc w:val="left"/>
      <w:pPr>
        <w:ind w:left="1868" w:hanging="183"/>
      </w:pPr>
      <w:rPr>
        <w:rFonts w:hint="default"/>
        <w:lang w:val="en-US" w:eastAsia="zh-CN" w:bidi="ar-SA"/>
      </w:rPr>
    </w:lvl>
    <w:lvl w:ilvl="3" w:tentative="0">
      <w:start w:val="0"/>
      <w:numFmt w:val="bullet"/>
      <w:lvlText w:val="•"/>
      <w:lvlJc w:val="left"/>
      <w:pPr>
        <w:ind w:left="2662" w:hanging="183"/>
      </w:pPr>
      <w:rPr>
        <w:rFonts w:hint="default"/>
        <w:lang w:val="en-US" w:eastAsia="zh-CN" w:bidi="ar-SA"/>
      </w:rPr>
    </w:lvl>
    <w:lvl w:ilvl="4" w:tentative="0">
      <w:start w:val="0"/>
      <w:numFmt w:val="bullet"/>
      <w:lvlText w:val="•"/>
      <w:lvlJc w:val="left"/>
      <w:pPr>
        <w:ind w:left="3456" w:hanging="183"/>
      </w:pPr>
      <w:rPr>
        <w:rFonts w:hint="default"/>
        <w:lang w:val="en-US" w:eastAsia="zh-CN" w:bidi="ar-SA"/>
      </w:rPr>
    </w:lvl>
    <w:lvl w:ilvl="5" w:tentative="0">
      <w:start w:val="0"/>
      <w:numFmt w:val="bullet"/>
      <w:lvlText w:val="•"/>
      <w:lvlJc w:val="left"/>
      <w:pPr>
        <w:ind w:left="4250" w:hanging="183"/>
      </w:pPr>
      <w:rPr>
        <w:rFonts w:hint="default"/>
        <w:lang w:val="en-US" w:eastAsia="zh-CN" w:bidi="ar-SA"/>
      </w:rPr>
    </w:lvl>
    <w:lvl w:ilvl="6" w:tentative="0">
      <w:start w:val="0"/>
      <w:numFmt w:val="bullet"/>
      <w:lvlText w:val="•"/>
      <w:lvlJc w:val="left"/>
      <w:pPr>
        <w:ind w:left="5044" w:hanging="183"/>
      </w:pPr>
      <w:rPr>
        <w:rFonts w:hint="default"/>
        <w:lang w:val="en-US" w:eastAsia="zh-CN" w:bidi="ar-SA"/>
      </w:rPr>
    </w:lvl>
    <w:lvl w:ilvl="7" w:tentative="0">
      <w:start w:val="0"/>
      <w:numFmt w:val="bullet"/>
      <w:lvlText w:val="•"/>
      <w:lvlJc w:val="left"/>
      <w:pPr>
        <w:ind w:left="5838" w:hanging="183"/>
      </w:pPr>
      <w:rPr>
        <w:rFonts w:hint="default"/>
        <w:lang w:val="en-US" w:eastAsia="zh-CN" w:bidi="ar-SA"/>
      </w:rPr>
    </w:lvl>
    <w:lvl w:ilvl="8" w:tentative="0">
      <w:start w:val="0"/>
      <w:numFmt w:val="bullet"/>
      <w:lvlText w:val="•"/>
      <w:lvlJc w:val="left"/>
      <w:pPr>
        <w:ind w:left="6632" w:hanging="183"/>
      </w:pPr>
      <w:rPr>
        <w:rFonts w:hint="default"/>
        <w:lang w:val="en-US" w:eastAsia="zh-CN" w:bidi="ar-SA"/>
      </w:rPr>
    </w:lvl>
  </w:abstractNum>
  <w:abstractNum w:abstractNumId="6">
    <w:nsid w:val="B7700CD1"/>
    <w:multiLevelType w:val="singleLevel"/>
    <w:tmpl w:val="B7700CD1"/>
    <w:lvl w:ilvl="0" w:tentative="0">
      <w:start w:val="10"/>
      <w:numFmt w:val="chineseCounting"/>
      <w:suff w:val="nothing"/>
      <w:lvlText w:val="%1、"/>
      <w:lvlJc w:val="left"/>
      <w:rPr>
        <w:rFonts w:hint="eastAsia"/>
      </w:rPr>
    </w:lvl>
  </w:abstractNum>
  <w:abstractNum w:abstractNumId="7">
    <w:nsid w:val="C8879AEF"/>
    <w:multiLevelType w:val="multilevel"/>
    <w:tmpl w:val="C8879AEF"/>
    <w:lvl w:ilvl="0" w:tentative="0">
      <w:start w:val="1"/>
      <w:numFmt w:val="decimal"/>
      <w:lvlText w:val="（%1）"/>
      <w:lvlJc w:val="left"/>
      <w:pPr>
        <w:ind w:left="995"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982" w:hanging="506"/>
      </w:pPr>
      <w:rPr>
        <w:rFonts w:hint="default"/>
        <w:lang w:val="en-US" w:eastAsia="zh-CN" w:bidi="ar-SA"/>
      </w:rPr>
    </w:lvl>
    <w:lvl w:ilvl="2" w:tentative="0">
      <w:start w:val="0"/>
      <w:numFmt w:val="bullet"/>
      <w:lvlText w:val="•"/>
      <w:lvlJc w:val="left"/>
      <w:pPr>
        <w:ind w:left="2964" w:hanging="506"/>
      </w:pPr>
      <w:rPr>
        <w:rFonts w:hint="default"/>
        <w:lang w:val="en-US" w:eastAsia="zh-CN" w:bidi="ar-SA"/>
      </w:rPr>
    </w:lvl>
    <w:lvl w:ilvl="3" w:tentative="0">
      <w:start w:val="0"/>
      <w:numFmt w:val="bullet"/>
      <w:lvlText w:val="•"/>
      <w:lvlJc w:val="left"/>
      <w:pPr>
        <w:ind w:left="3946" w:hanging="506"/>
      </w:pPr>
      <w:rPr>
        <w:rFonts w:hint="default"/>
        <w:lang w:val="en-US" w:eastAsia="zh-CN" w:bidi="ar-SA"/>
      </w:rPr>
    </w:lvl>
    <w:lvl w:ilvl="4" w:tentative="0">
      <w:start w:val="0"/>
      <w:numFmt w:val="bullet"/>
      <w:lvlText w:val="•"/>
      <w:lvlJc w:val="left"/>
      <w:pPr>
        <w:ind w:left="4928" w:hanging="506"/>
      </w:pPr>
      <w:rPr>
        <w:rFonts w:hint="default"/>
        <w:lang w:val="en-US" w:eastAsia="zh-CN" w:bidi="ar-SA"/>
      </w:rPr>
    </w:lvl>
    <w:lvl w:ilvl="5" w:tentative="0">
      <w:start w:val="0"/>
      <w:numFmt w:val="bullet"/>
      <w:lvlText w:val="•"/>
      <w:lvlJc w:val="left"/>
      <w:pPr>
        <w:ind w:left="5910" w:hanging="506"/>
      </w:pPr>
      <w:rPr>
        <w:rFonts w:hint="default"/>
        <w:lang w:val="en-US" w:eastAsia="zh-CN" w:bidi="ar-SA"/>
      </w:rPr>
    </w:lvl>
    <w:lvl w:ilvl="6" w:tentative="0">
      <w:start w:val="0"/>
      <w:numFmt w:val="bullet"/>
      <w:lvlText w:val="•"/>
      <w:lvlJc w:val="left"/>
      <w:pPr>
        <w:ind w:left="6892" w:hanging="506"/>
      </w:pPr>
      <w:rPr>
        <w:rFonts w:hint="default"/>
        <w:lang w:val="en-US" w:eastAsia="zh-CN" w:bidi="ar-SA"/>
      </w:rPr>
    </w:lvl>
    <w:lvl w:ilvl="7" w:tentative="0">
      <w:start w:val="0"/>
      <w:numFmt w:val="bullet"/>
      <w:lvlText w:val="•"/>
      <w:lvlJc w:val="left"/>
      <w:pPr>
        <w:ind w:left="7874" w:hanging="506"/>
      </w:pPr>
      <w:rPr>
        <w:rFonts w:hint="default"/>
        <w:lang w:val="en-US" w:eastAsia="zh-CN" w:bidi="ar-SA"/>
      </w:rPr>
    </w:lvl>
    <w:lvl w:ilvl="8" w:tentative="0">
      <w:start w:val="0"/>
      <w:numFmt w:val="bullet"/>
      <w:lvlText w:val="•"/>
      <w:lvlJc w:val="left"/>
      <w:pPr>
        <w:ind w:left="8856" w:hanging="506"/>
      </w:pPr>
      <w:rPr>
        <w:rFonts w:hint="default"/>
        <w:lang w:val="en-US" w:eastAsia="zh-CN" w:bidi="ar-SA"/>
      </w:rPr>
    </w:lvl>
  </w:abstractNum>
  <w:abstractNum w:abstractNumId="8">
    <w:nsid w:val="D7F9FE59"/>
    <w:multiLevelType w:val="multilevel"/>
    <w:tmpl w:val="D7F9FE59"/>
    <w:lvl w:ilvl="0" w:tentative="0">
      <w:start w:val="1"/>
      <w:numFmt w:val="decimal"/>
      <w:lvlText w:val="%1."/>
      <w:lvlJc w:val="left"/>
      <w:pPr>
        <w:ind w:left="777" w:hanging="240"/>
        <w:jc w:val="left"/>
      </w:pPr>
      <w:rPr>
        <w:rFonts w:hint="default" w:ascii="Lucida Sans Unicode" w:hAnsi="Lucida Sans Unicode" w:eastAsia="Lucida Sans Unicode" w:cs="Lucida Sans Unicode"/>
        <w:spacing w:val="-5"/>
        <w:w w:val="113"/>
        <w:sz w:val="19"/>
        <w:szCs w:val="19"/>
        <w:lang w:val="en-US" w:eastAsia="zh-CN" w:bidi="ar-SA"/>
      </w:rPr>
    </w:lvl>
    <w:lvl w:ilvl="1" w:tentative="0">
      <w:start w:val="1"/>
      <w:numFmt w:val="decimal"/>
      <w:lvlText w:val="%1.%2"/>
      <w:lvlJc w:val="left"/>
      <w:pPr>
        <w:ind w:left="793" w:hanging="304"/>
        <w:jc w:val="left"/>
      </w:pPr>
      <w:rPr>
        <w:rFonts w:hint="default" w:ascii="Meiryo" w:hAnsi="Meiryo" w:eastAsia="Meiryo" w:cs="Meiryo"/>
        <w:spacing w:val="-3"/>
        <w:w w:val="92"/>
        <w:sz w:val="17"/>
        <w:szCs w:val="17"/>
        <w:lang w:val="en-US" w:eastAsia="zh-CN" w:bidi="ar-SA"/>
      </w:rPr>
    </w:lvl>
    <w:lvl w:ilvl="2" w:tentative="0">
      <w:start w:val="0"/>
      <w:numFmt w:val="bullet"/>
      <w:lvlText w:val="•"/>
      <w:lvlJc w:val="left"/>
      <w:pPr>
        <w:ind w:left="800" w:hanging="304"/>
      </w:pPr>
      <w:rPr>
        <w:rFonts w:hint="default"/>
        <w:lang w:val="en-US" w:eastAsia="zh-CN" w:bidi="ar-SA"/>
      </w:rPr>
    </w:lvl>
    <w:lvl w:ilvl="3" w:tentative="0">
      <w:start w:val="0"/>
      <w:numFmt w:val="bullet"/>
      <w:lvlText w:val="•"/>
      <w:lvlJc w:val="left"/>
      <w:pPr>
        <w:ind w:left="2052" w:hanging="304"/>
      </w:pPr>
      <w:rPr>
        <w:rFonts w:hint="default"/>
        <w:lang w:val="en-US" w:eastAsia="zh-CN" w:bidi="ar-SA"/>
      </w:rPr>
    </w:lvl>
    <w:lvl w:ilvl="4" w:tentative="0">
      <w:start w:val="0"/>
      <w:numFmt w:val="bullet"/>
      <w:lvlText w:val="•"/>
      <w:lvlJc w:val="left"/>
      <w:pPr>
        <w:ind w:left="3305" w:hanging="304"/>
      </w:pPr>
      <w:rPr>
        <w:rFonts w:hint="default"/>
        <w:lang w:val="en-US" w:eastAsia="zh-CN" w:bidi="ar-SA"/>
      </w:rPr>
    </w:lvl>
    <w:lvl w:ilvl="5" w:tentative="0">
      <w:start w:val="0"/>
      <w:numFmt w:val="bullet"/>
      <w:lvlText w:val="•"/>
      <w:lvlJc w:val="left"/>
      <w:pPr>
        <w:ind w:left="4557" w:hanging="304"/>
      </w:pPr>
      <w:rPr>
        <w:rFonts w:hint="default"/>
        <w:lang w:val="en-US" w:eastAsia="zh-CN" w:bidi="ar-SA"/>
      </w:rPr>
    </w:lvl>
    <w:lvl w:ilvl="6" w:tentative="0">
      <w:start w:val="0"/>
      <w:numFmt w:val="bullet"/>
      <w:lvlText w:val="•"/>
      <w:lvlJc w:val="left"/>
      <w:pPr>
        <w:ind w:left="5810" w:hanging="304"/>
      </w:pPr>
      <w:rPr>
        <w:rFonts w:hint="default"/>
        <w:lang w:val="en-US" w:eastAsia="zh-CN" w:bidi="ar-SA"/>
      </w:rPr>
    </w:lvl>
    <w:lvl w:ilvl="7" w:tentative="0">
      <w:start w:val="0"/>
      <w:numFmt w:val="bullet"/>
      <w:lvlText w:val="•"/>
      <w:lvlJc w:val="left"/>
      <w:pPr>
        <w:ind w:left="7062" w:hanging="304"/>
      </w:pPr>
      <w:rPr>
        <w:rFonts w:hint="default"/>
        <w:lang w:val="en-US" w:eastAsia="zh-CN" w:bidi="ar-SA"/>
      </w:rPr>
    </w:lvl>
    <w:lvl w:ilvl="8" w:tentative="0">
      <w:start w:val="0"/>
      <w:numFmt w:val="bullet"/>
      <w:lvlText w:val="•"/>
      <w:lvlJc w:val="left"/>
      <w:pPr>
        <w:ind w:left="8315" w:hanging="304"/>
      </w:pPr>
      <w:rPr>
        <w:rFonts w:hint="default"/>
        <w:lang w:val="en-US" w:eastAsia="zh-CN" w:bidi="ar-SA"/>
      </w:rPr>
    </w:lvl>
  </w:abstractNum>
  <w:abstractNum w:abstractNumId="9">
    <w:nsid w:val="D95875F8"/>
    <w:multiLevelType w:val="singleLevel"/>
    <w:tmpl w:val="D95875F8"/>
    <w:lvl w:ilvl="0" w:tentative="0">
      <w:start w:val="2"/>
      <w:numFmt w:val="chineseCounting"/>
      <w:suff w:val="nothing"/>
      <w:lvlText w:val="%1、"/>
      <w:lvlJc w:val="left"/>
      <w:rPr>
        <w:rFonts w:hint="eastAsia"/>
      </w:rPr>
    </w:lvl>
  </w:abstractNum>
  <w:abstractNum w:abstractNumId="10">
    <w:nsid w:val="DCBA6B53"/>
    <w:multiLevelType w:val="multilevel"/>
    <w:tmpl w:val="DCBA6B53"/>
    <w:lvl w:ilvl="0" w:tentative="0">
      <w:start w:val="1"/>
      <w:numFmt w:val="decimal"/>
      <w:lvlText w:val="（%1）"/>
      <w:lvlJc w:val="left"/>
      <w:pPr>
        <w:ind w:left="995"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982" w:hanging="506"/>
      </w:pPr>
      <w:rPr>
        <w:rFonts w:hint="default"/>
        <w:lang w:val="en-US" w:eastAsia="zh-CN" w:bidi="ar-SA"/>
      </w:rPr>
    </w:lvl>
    <w:lvl w:ilvl="2" w:tentative="0">
      <w:start w:val="0"/>
      <w:numFmt w:val="bullet"/>
      <w:lvlText w:val="•"/>
      <w:lvlJc w:val="left"/>
      <w:pPr>
        <w:ind w:left="2964" w:hanging="506"/>
      </w:pPr>
      <w:rPr>
        <w:rFonts w:hint="default"/>
        <w:lang w:val="en-US" w:eastAsia="zh-CN" w:bidi="ar-SA"/>
      </w:rPr>
    </w:lvl>
    <w:lvl w:ilvl="3" w:tentative="0">
      <w:start w:val="0"/>
      <w:numFmt w:val="bullet"/>
      <w:lvlText w:val="•"/>
      <w:lvlJc w:val="left"/>
      <w:pPr>
        <w:ind w:left="3946" w:hanging="506"/>
      </w:pPr>
      <w:rPr>
        <w:rFonts w:hint="default"/>
        <w:lang w:val="en-US" w:eastAsia="zh-CN" w:bidi="ar-SA"/>
      </w:rPr>
    </w:lvl>
    <w:lvl w:ilvl="4" w:tentative="0">
      <w:start w:val="0"/>
      <w:numFmt w:val="bullet"/>
      <w:lvlText w:val="•"/>
      <w:lvlJc w:val="left"/>
      <w:pPr>
        <w:ind w:left="4928" w:hanging="506"/>
      </w:pPr>
      <w:rPr>
        <w:rFonts w:hint="default"/>
        <w:lang w:val="en-US" w:eastAsia="zh-CN" w:bidi="ar-SA"/>
      </w:rPr>
    </w:lvl>
    <w:lvl w:ilvl="5" w:tentative="0">
      <w:start w:val="0"/>
      <w:numFmt w:val="bullet"/>
      <w:lvlText w:val="•"/>
      <w:lvlJc w:val="left"/>
      <w:pPr>
        <w:ind w:left="5910" w:hanging="506"/>
      </w:pPr>
      <w:rPr>
        <w:rFonts w:hint="default"/>
        <w:lang w:val="en-US" w:eastAsia="zh-CN" w:bidi="ar-SA"/>
      </w:rPr>
    </w:lvl>
    <w:lvl w:ilvl="6" w:tentative="0">
      <w:start w:val="0"/>
      <w:numFmt w:val="bullet"/>
      <w:lvlText w:val="•"/>
      <w:lvlJc w:val="left"/>
      <w:pPr>
        <w:ind w:left="6892" w:hanging="506"/>
      </w:pPr>
      <w:rPr>
        <w:rFonts w:hint="default"/>
        <w:lang w:val="en-US" w:eastAsia="zh-CN" w:bidi="ar-SA"/>
      </w:rPr>
    </w:lvl>
    <w:lvl w:ilvl="7" w:tentative="0">
      <w:start w:val="0"/>
      <w:numFmt w:val="bullet"/>
      <w:lvlText w:val="•"/>
      <w:lvlJc w:val="left"/>
      <w:pPr>
        <w:ind w:left="7874" w:hanging="506"/>
      </w:pPr>
      <w:rPr>
        <w:rFonts w:hint="default"/>
        <w:lang w:val="en-US" w:eastAsia="zh-CN" w:bidi="ar-SA"/>
      </w:rPr>
    </w:lvl>
    <w:lvl w:ilvl="8" w:tentative="0">
      <w:start w:val="0"/>
      <w:numFmt w:val="bullet"/>
      <w:lvlText w:val="•"/>
      <w:lvlJc w:val="left"/>
      <w:pPr>
        <w:ind w:left="8856" w:hanging="506"/>
      </w:pPr>
      <w:rPr>
        <w:rFonts w:hint="default"/>
        <w:lang w:val="en-US" w:eastAsia="zh-CN" w:bidi="ar-SA"/>
      </w:rPr>
    </w:lvl>
  </w:abstractNum>
  <w:abstractNum w:abstractNumId="11">
    <w:nsid w:val="F4B5D9F5"/>
    <w:multiLevelType w:val="multilevel"/>
    <w:tmpl w:val="F4B5D9F5"/>
    <w:lvl w:ilvl="0" w:tentative="0">
      <w:start w:val="1"/>
      <w:numFmt w:val="decimal"/>
      <w:lvlText w:val="（%1）"/>
      <w:lvlJc w:val="left"/>
      <w:pPr>
        <w:ind w:left="995"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982" w:hanging="506"/>
      </w:pPr>
      <w:rPr>
        <w:rFonts w:hint="default"/>
        <w:lang w:val="en-US" w:eastAsia="zh-CN" w:bidi="ar-SA"/>
      </w:rPr>
    </w:lvl>
    <w:lvl w:ilvl="2" w:tentative="0">
      <w:start w:val="0"/>
      <w:numFmt w:val="bullet"/>
      <w:lvlText w:val="•"/>
      <w:lvlJc w:val="left"/>
      <w:pPr>
        <w:ind w:left="2964" w:hanging="506"/>
      </w:pPr>
      <w:rPr>
        <w:rFonts w:hint="default"/>
        <w:lang w:val="en-US" w:eastAsia="zh-CN" w:bidi="ar-SA"/>
      </w:rPr>
    </w:lvl>
    <w:lvl w:ilvl="3" w:tentative="0">
      <w:start w:val="0"/>
      <w:numFmt w:val="bullet"/>
      <w:lvlText w:val="•"/>
      <w:lvlJc w:val="left"/>
      <w:pPr>
        <w:ind w:left="3946" w:hanging="506"/>
      </w:pPr>
      <w:rPr>
        <w:rFonts w:hint="default"/>
        <w:lang w:val="en-US" w:eastAsia="zh-CN" w:bidi="ar-SA"/>
      </w:rPr>
    </w:lvl>
    <w:lvl w:ilvl="4" w:tentative="0">
      <w:start w:val="0"/>
      <w:numFmt w:val="bullet"/>
      <w:lvlText w:val="•"/>
      <w:lvlJc w:val="left"/>
      <w:pPr>
        <w:ind w:left="4928" w:hanging="506"/>
      </w:pPr>
      <w:rPr>
        <w:rFonts w:hint="default"/>
        <w:lang w:val="en-US" w:eastAsia="zh-CN" w:bidi="ar-SA"/>
      </w:rPr>
    </w:lvl>
    <w:lvl w:ilvl="5" w:tentative="0">
      <w:start w:val="0"/>
      <w:numFmt w:val="bullet"/>
      <w:lvlText w:val="•"/>
      <w:lvlJc w:val="left"/>
      <w:pPr>
        <w:ind w:left="5910" w:hanging="506"/>
      </w:pPr>
      <w:rPr>
        <w:rFonts w:hint="default"/>
        <w:lang w:val="en-US" w:eastAsia="zh-CN" w:bidi="ar-SA"/>
      </w:rPr>
    </w:lvl>
    <w:lvl w:ilvl="6" w:tentative="0">
      <w:start w:val="0"/>
      <w:numFmt w:val="bullet"/>
      <w:lvlText w:val="•"/>
      <w:lvlJc w:val="left"/>
      <w:pPr>
        <w:ind w:left="6892" w:hanging="506"/>
      </w:pPr>
      <w:rPr>
        <w:rFonts w:hint="default"/>
        <w:lang w:val="en-US" w:eastAsia="zh-CN" w:bidi="ar-SA"/>
      </w:rPr>
    </w:lvl>
    <w:lvl w:ilvl="7" w:tentative="0">
      <w:start w:val="0"/>
      <w:numFmt w:val="bullet"/>
      <w:lvlText w:val="•"/>
      <w:lvlJc w:val="left"/>
      <w:pPr>
        <w:ind w:left="7874" w:hanging="506"/>
      </w:pPr>
      <w:rPr>
        <w:rFonts w:hint="default"/>
        <w:lang w:val="en-US" w:eastAsia="zh-CN" w:bidi="ar-SA"/>
      </w:rPr>
    </w:lvl>
    <w:lvl w:ilvl="8" w:tentative="0">
      <w:start w:val="0"/>
      <w:numFmt w:val="bullet"/>
      <w:lvlText w:val="•"/>
      <w:lvlJc w:val="left"/>
      <w:pPr>
        <w:ind w:left="8856" w:hanging="506"/>
      </w:pPr>
      <w:rPr>
        <w:rFonts w:hint="default"/>
        <w:lang w:val="en-US" w:eastAsia="zh-CN" w:bidi="ar-SA"/>
      </w:rPr>
    </w:lvl>
  </w:abstractNum>
  <w:abstractNum w:abstractNumId="12">
    <w:nsid w:val="0248C179"/>
    <w:multiLevelType w:val="multilevel"/>
    <w:tmpl w:val="0248C179"/>
    <w:lvl w:ilvl="0" w:tentative="0">
      <w:start w:val="1"/>
      <w:numFmt w:val="decimal"/>
      <w:lvlText w:val="（%1）"/>
      <w:lvlJc w:val="left"/>
      <w:pPr>
        <w:ind w:left="995"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982" w:hanging="506"/>
      </w:pPr>
      <w:rPr>
        <w:rFonts w:hint="default"/>
        <w:lang w:val="en-US" w:eastAsia="zh-CN" w:bidi="ar-SA"/>
      </w:rPr>
    </w:lvl>
    <w:lvl w:ilvl="2" w:tentative="0">
      <w:start w:val="0"/>
      <w:numFmt w:val="bullet"/>
      <w:lvlText w:val="•"/>
      <w:lvlJc w:val="left"/>
      <w:pPr>
        <w:ind w:left="2964" w:hanging="506"/>
      </w:pPr>
      <w:rPr>
        <w:rFonts w:hint="default"/>
        <w:lang w:val="en-US" w:eastAsia="zh-CN" w:bidi="ar-SA"/>
      </w:rPr>
    </w:lvl>
    <w:lvl w:ilvl="3" w:tentative="0">
      <w:start w:val="0"/>
      <w:numFmt w:val="bullet"/>
      <w:lvlText w:val="•"/>
      <w:lvlJc w:val="left"/>
      <w:pPr>
        <w:ind w:left="3946" w:hanging="506"/>
      </w:pPr>
      <w:rPr>
        <w:rFonts w:hint="default"/>
        <w:lang w:val="en-US" w:eastAsia="zh-CN" w:bidi="ar-SA"/>
      </w:rPr>
    </w:lvl>
    <w:lvl w:ilvl="4" w:tentative="0">
      <w:start w:val="0"/>
      <w:numFmt w:val="bullet"/>
      <w:lvlText w:val="•"/>
      <w:lvlJc w:val="left"/>
      <w:pPr>
        <w:ind w:left="4928" w:hanging="506"/>
      </w:pPr>
      <w:rPr>
        <w:rFonts w:hint="default"/>
        <w:lang w:val="en-US" w:eastAsia="zh-CN" w:bidi="ar-SA"/>
      </w:rPr>
    </w:lvl>
    <w:lvl w:ilvl="5" w:tentative="0">
      <w:start w:val="0"/>
      <w:numFmt w:val="bullet"/>
      <w:lvlText w:val="•"/>
      <w:lvlJc w:val="left"/>
      <w:pPr>
        <w:ind w:left="5910" w:hanging="506"/>
      </w:pPr>
      <w:rPr>
        <w:rFonts w:hint="default"/>
        <w:lang w:val="en-US" w:eastAsia="zh-CN" w:bidi="ar-SA"/>
      </w:rPr>
    </w:lvl>
    <w:lvl w:ilvl="6" w:tentative="0">
      <w:start w:val="0"/>
      <w:numFmt w:val="bullet"/>
      <w:lvlText w:val="•"/>
      <w:lvlJc w:val="left"/>
      <w:pPr>
        <w:ind w:left="6892" w:hanging="506"/>
      </w:pPr>
      <w:rPr>
        <w:rFonts w:hint="default"/>
        <w:lang w:val="en-US" w:eastAsia="zh-CN" w:bidi="ar-SA"/>
      </w:rPr>
    </w:lvl>
    <w:lvl w:ilvl="7" w:tentative="0">
      <w:start w:val="0"/>
      <w:numFmt w:val="bullet"/>
      <w:lvlText w:val="•"/>
      <w:lvlJc w:val="left"/>
      <w:pPr>
        <w:ind w:left="7874" w:hanging="506"/>
      </w:pPr>
      <w:rPr>
        <w:rFonts w:hint="default"/>
        <w:lang w:val="en-US" w:eastAsia="zh-CN" w:bidi="ar-SA"/>
      </w:rPr>
    </w:lvl>
    <w:lvl w:ilvl="8" w:tentative="0">
      <w:start w:val="0"/>
      <w:numFmt w:val="bullet"/>
      <w:lvlText w:val="•"/>
      <w:lvlJc w:val="left"/>
      <w:pPr>
        <w:ind w:left="8856" w:hanging="506"/>
      </w:pPr>
      <w:rPr>
        <w:rFonts w:hint="default"/>
        <w:lang w:val="en-US" w:eastAsia="zh-CN" w:bidi="ar-SA"/>
      </w:rPr>
    </w:lvl>
  </w:abstractNum>
  <w:abstractNum w:abstractNumId="13">
    <w:nsid w:val="2470EC97"/>
    <w:multiLevelType w:val="multilevel"/>
    <w:tmpl w:val="2470EC97"/>
    <w:lvl w:ilvl="0" w:tentative="0">
      <w:start w:val="1"/>
      <w:numFmt w:val="decimal"/>
      <w:lvlText w:val="%1."/>
      <w:lvlJc w:val="left"/>
      <w:pPr>
        <w:ind w:left="777" w:hanging="240"/>
        <w:jc w:val="left"/>
      </w:pPr>
      <w:rPr>
        <w:rFonts w:hint="default" w:ascii="Lucida Sans Unicode" w:hAnsi="Lucida Sans Unicode" w:eastAsia="Lucida Sans Unicode" w:cs="Lucida Sans Unicode"/>
        <w:spacing w:val="-5"/>
        <w:w w:val="113"/>
        <w:sz w:val="19"/>
        <w:szCs w:val="19"/>
        <w:lang w:val="en-US" w:eastAsia="zh-CN" w:bidi="ar-SA"/>
      </w:rPr>
    </w:lvl>
    <w:lvl w:ilvl="1" w:tentative="0">
      <w:start w:val="1"/>
      <w:numFmt w:val="decimal"/>
      <w:lvlText w:val="%1.%2"/>
      <w:lvlJc w:val="left"/>
      <w:pPr>
        <w:ind w:left="106" w:hanging="304"/>
        <w:jc w:val="left"/>
      </w:pPr>
      <w:rPr>
        <w:rFonts w:hint="default" w:ascii="Meiryo" w:hAnsi="Meiryo" w:eastAsia="Meiryo" w:cs="Meiryo"/>
        <w:spacing w:val="-3"/>
        <w:w w:val="92"/>
        <w:sz w:val="17"/>
        <w:szCs w:val="17"/>
        <w:lang w:val="en-US" w:eastAsia="zh-CN" w:bidi="ar-SA"/>
      </w:rPr>
    </w:lvl>
    <w:lvl w:ilvl="2" w:tentative="0">
      <w:start w:val="0"/>
      <w:numFmt w:val="bullet"/>
      <w:lvlText w:val="•"/>
      <w:lvlJc w:val="left"/>
      <w:pPr>
        <w:ind w:left="1895" w:hanging="304"/>
      </w:pPr>
      <w:rPr>
        <w:rFonts w:hint="default"/>
        <w:lang w:val="en-US" w:eastAsia="zh-CN" w:bidi="ar-SA"/>
      </w:rPr>
    </w:lvl>
    <w:lvl w:ilvl="3" w:tentative="0">
      <w:start w:val="0"/>
      <w:numFmt w:val="bullet"/>
      <w:lvlText w:val="•"/>
      <w:lvlJc w:val="left"/>
      <w:pPr>
        <w:ind w:left="3011" w:hanging="304"/>
      </w:pPr>
      <w:rPr>
        <w:rFonts w:hint="default"/>
        <w:lang w:val="en-US" w:eastAsia="zh-CN" w:bidi="ar-SA"/>
      </w:rPr>
    </w:lvl>
    <w:lvl w:ilvl="4" w:tentative="0">
      <w:start w:val="0"/>
      <w:numFmt w:val="bullet"/>
      <w:lvlText w:val="•"/>
      <w:lvlJc w:val="left"/>
      <w:pPr>
        <w:ind w:left="4126" w:hanging="304"/>
      </w:pPr>
      <w:rPr>
        <w:rFonts w:hint="default"/>
        <w:lang w:val="en-US" w:eastAsia="zh-CN" w:bidi="ar-SA"/>
      </w:rPr>
    </w:lvl>
    <w:lvl w:ilvl="5" w:tentative="0">
      <w:start w:val="0"/>
      <w:numFmt w:val="bullet"/>
      <w:lvlText w:val="•"/>
      <w:lvlJc w:val="left"/>
      <w:pPr>
        <w:ind w:left="5242" w:hanging="304"/>
      </w:pPr>
      <w:rPr>
        <w:rFonts w:hint="default"/>
        <w:lang w:val="en-US" w:eastAsia="zh-CN" w:bidi="ar-SA"/>
      </w:rPr>
    </w:lvl>
    <w:lvl w:ilvl="6" w:tentative="0">
      <w:start w:val="0"/>
      <w:numFmt w:val="bullet"/>
      <w:lvlText w:val="•"/>
      <w:lvlJc w:val="left"/>
      <w:pPr>
        <w:ind w:left="6357" w:hanging="304"/>
      </w:pPr>
      <w:rPr>
        <w:rFonts w:hint="default"/>
        <w:lang w:val="en-US" w:eastAsia="zh-CN" w:bidi="ar-SA"/>
      </w:rPr>
    </w:lvl>
    <w:lvl w:ilvl="7" w:tentative="0">
      <w:start w:val="0"/>
      <w:numFmt w:val="bullet"/>
      <w:lvlText w:val="•"/>
      <w:lvlJc w:val="left"/>
      <w:pPr>
        <w:ind w:left="7473" w:hanging="304"/>
      </w:pPr>
      <w:rPr>
        <w:rFonts w:hint="default"/>
        <w:lang w:val="en-US" w:eastAsia="zh-CN" w:bidi="ar-SA"/>
      </w:rPr>
    </w:lvl>
    <w:lvl w:ilvl="8" w:tentative="0">
      <w:start w:val="0"/>
      <w:numFmt w:val="bullet"/>
      <w:lvlText w:val="•"/>
      <w:lvlJc w:val="left"/>
      <w:pPr>
        <w:ind w:left="8588" w:hanging="304"/>
      </w:pPr>
      <w:rPr>
        <w:rFonts w:hint="default"/>
        <w:lang w:val="en-US" w:eastAsia="zh-CN" w:bidi="ar-SA"/>
      </w:rPr>
    </w:lvl>
  </w:abstractNum>
  <w:abstractNum w:abstractNumId="14">
    <w:nsid w:val="2A8F537B"/>
    <w:multiLevelType w:val="multilevel"/>
    <w:tmpl w:val="2A8F537B"/>
    <w:lvl w:ilvl="0" w:tentative="0">
      <w:start w:val="1"/>
      <w:numFmt w:val="decimal"/>
      <w:lvlText w:val="%1."/>
      <w:lvlJc w:val="left"/>
      <w:pPr>
        <w:ind w:left="312" w:hanging="206"/>
        <w:jc w:val="left"/>
      </w:pPr>
      <w:rPr>
        <w:rFonts w:hint="default" w:ascii="Lucida Sans Unicode" w:hAnsi="Lucida Sans Unicode" w:eastAsia="Lucida Sans Unicode" w:cs="Lucida Sans Unicode"/>
        <w:spacing w:val="-7"/>
        <w:w w:val="111"/>
        <w:sz w:val="17"/>
        <w:szCs w:val="17"/>
        <w:lang w:val="en-US" w:eastAsia="zh-CN" w:bidi="ar-SA"/>
      </w:rPr>
    </w:lvl>
    <w:lvl w:ilvl="1" w:tentative="0">
      <w:start w:val="1"/>
      <w:numFmt w:val="decimal"/>
      <w:lvlText w:val="%2."/>
      <w:lvlJc w:val="left"/>
      <w:pPr>
        <w:ind w:left="777" w:hanging="240"/>
        <w:jc w:val="left"/>
      </w:pPr>
      <w:rPr>
        <w:rFonts w:hint="default" w:ascii="Lucida Sans Unicode" w:hAnsi="Lucida Sans Unicode" w:eastAsia="Lucida Sans Unicode" w:cs="Lucida Sans Unicode"/>
        <w:spacing w:val="-5"/>
        <w:w w:val="113"/>
        <w:sz w:val="19"/>
        <w:szCs w:val="19"/>
        <w:lang w:val="en-US" w:eastAsia="zh-CN" w:bidi="ar-SA"/>
      </w:rPr>
    </w:lvl>
    <w:lvl w:ilvl="2" w:tentative="0">
      <w:start w:val="1"/>
      <w:numFmt w:val="decimal"/>
      <w:lvlText w:val="%2.%3"/>
      <w:lvlJc w:val="left"/>
      <w:pPr>
        <w:ind w:left="793" w:hanging="304"/>
        <w:jc w:val="left"/>
      </w:pPr>
      <w:rPr>
        <w:rFonts w:hint="default" w:ascii="Meiryo" w:hAnsi="Meiryo" w:eastAsia="Meiryo" w:cs="Meiryo"/>
        <w:spacing w:val="-3"/>
        <w:w w:val="92"/>
        <w:sz w:val="17"/>
        <w:szCs w:val="17"/>
        <w:lang w:val="en-US" w:eastAsia="zh-CN" w:bidi="ar-SA"/>
      </w:rPr>
    </w:lvl>
    <w:lvl w:ilvl="3" w:tentative="0">
      <w:start w:val="0"/>
      <w:numFmt w:val="bullet"/>
      <w:lvlText w:val="•"/>
      <w:lvlJc w:val="left"/>
      <w:pPr>
        <w:ind w:left="2052" w:hanging="304"/>
      </w:pPr>
      <w:rPr>
        <w:rFonts w:hint="default"/>
        <w:lang w:val="en-US" w:eastAsia="zh-CN" w:bidi="ar-SA"/>
      </w:rPr>
    </w:lvl>
    <w:lvl w:ilvl="4" w:tentative="0">
      <w:start w:val="0"/>
      <w:numFmt w:val="bullet"/>
      <w:lvlText w:val="•"/>
      <w:lvlJc w:val="left"/>
      <w:pPr>
        <w:ind w:left="3305" w:hanging="304"/>
      </w:pPr>
      <w:rPr>
        <w:rFonts w:hint="default"/>
        <w:lang w:val="en-US" w:eastAsia="zh-CN" w:bidi="ar-SA"/>
      </w:rPr>
    </w:lvl>
    <w:lvl w:ilvl="5" w:tentative="0">
      <w:start w:val="0"/>
      <w:numFmt w:val="bullet"/>
      <w:lvlText w:val="•"/>
      <w:lvlJc w:val="left"/>
      <w:pPr>
        <w:ind w:left="4557" w:hanging="304"/>
      </w:pPr>
      <w:rPr>
        <w:rFonts w:hint="default"/>
        <w:lang w:val="en-US" w:eastAsia="zh-CN" w:bidi="ar-SA"/>
      </w:rPr>
    </w:lvl>
    <w:lvl w:ilvl="6" w:tentative="0">
      <w:start w:val="0"/>
      <w:numFmt w:val="bullet"/>
      <w:lvlText w:val="•"/>
      <w:lvlJc w:val="left"/>
      <w:pPr>
        <w:ind w:left="5810" w:hanging="304"/>
      </w:pPr>
      <w:rPr>
        <w:rFonts w:hint="default"/>
        <w:lang w:val="en-US" w:eastAsia="zh-CN" w:bidi="ar-SA"/>
      </w:rPr>
    </w:lvl>
    <w:lvl w:ilvl="7" w:tentative="0">
      <w:start w:val="0"/>
      <w:numFmt w:val="bullet"/>
      <w:lvlText w:val="•"/>
      <w:lvlJc w:val="left"/>
      <w:pPr>
        <w:ind w:left="7062" w:hanging="304"/>
      </w:pPr>
      <w:rPr>
        <w:rFonts w:hint="default"/>
        <w:lang w:val="en-US" w:eastAsia="zh-CN" w:bidi="ar-SA"/>
      </w:rPr>
    </w:lvl>
    <w:lvl w:ilvl="8" w:tentative="0">
      <w:start w:val="0"/>
      <w:numFmt w:val="bullet"/>
      <w:lvlText w:val="•"/>
      <w:lvlJc w:val="left"/>
      <w:pPr>
        <w:ind w:left="8315" w:hanging="304"/>
      </w:pPr>
      <w:rPr>
        <w:rFonts w:hint="default"/>
        <w:lang w:val="en-US" w:eastAsia="zh-CN" w:bidi="ar-SA"/>
      </w:rPr>
    </w:lvl>
  </w:abstractNum>
  <w:abstractNum w:abstractNumId="15">
    <w:nsid w:val="30D05CD8"/>
    <w:multiLevelType w:val="singleLevel"/>
    <w:tmpl w:val="30D05CD8"/>
    <w:lvl w:ilvl="0" w:tentative="0">
      <w:start w:val="2"/>
      <w:numFmt w:val="chineseCounting"/>
      <w:suff w:val="nothing"/>
      <w:lvlText w:val="%1、"/>
      <w:lvlJc w:val="left"/>
      <w:rPr>
        <w:rFonts w:hint="eastAsia"/>
      </w:rPr>
    </w:lvl>
  </w:abstractNum>
  <w:abstractNum w:abstractNumId="16">
    <w:nsid w:val="36644559"/>
    <w:multiLevelType w:val="singleLevel"/>
    <w:tmpl w:val="36644559"/>
    <w:lvl w:ilvl="0" w:tentative="0">
      <w:start w:val="3"/>
      <w:numFmt w:val="chineseCounting"/>
      <w:suff w:val="nothing"/>
      <w:lvlText w:val="%1、"/>
      <w:lvlJc w:val="left"/>
      <w:rPr>
        <w:rFonts w:hint="eastAsia"/>
      </w:rPr>
    </w:lvl>
  </w:abstractNum>
  <w:abstractNum w:abstractNumId="17">
    <w:nsid w:val="3AC3097A"/>
    <w:multiLevelType w:val="singleLevel"/>
    <w:tmpl w:val="3AC3097A"/>
    <w:lvl w:ilvl="0" w:tentative="0">
      <w:start w:val="7"/>
      <w:numFmt w:val="chineseCounting"/>
      <w:suff w:val="nothing"/>
      <w:lvlText w:val="%1、"/>
      <w:lvlJc w:val="left"/>
      <w:rPr>
        <w:rFonts w:hint="eastAsia"/>
      </w:rPr>
    </w:lvl>
  </w:abstractNum>
  <w:abstractNum w:abstractNumId="18">
    <w:nsid w:val="4D4DC07F"/>
    <w:multiLevelType w:val="multilevel"/>
    <w:tmpl w:val="4D4DC07F"/>
    <w:lvl w:ilvl="0" w:tentative="0">
      <w:start w:val="1"/>
      <w:numFmt w:val="decimal"/>
      <w:lvlText w:val="（%1）"/>
      <w:lvlJc w:val="left"/>
      <w:pPr>
        <w:ind w:left="995"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982" w:hanging="506"/>
      </w:pPr>
      <w:rPr>
        <w:rFonts w:hint="default"/>
        <w:lang w:val="en-US" w:eastAsia="zh-CN" w:bidi="ar-SA"/>
      </w:rPr>
    </w:lvl>
    <w:lvl w:ilvl="2" w:tentative="0">
      <w:start w:val="0"/>
      <w:numFmt w:val="bullet"/>
      <w:lvlText w:val="•"/>
      <w:lvlJc w:val="left"/>
      <w:pPr>
        <w:ind w:left="2964" w:hanging="506"/>
      </w:pPr>
      <w:rPr>
        <w:rFonts w:hint="default"/>
        <w:lang w:val="en-US" w:eastAsia="zh-CN" w:bidi="ar-SA"/>
      </w:rPr>
    </w:lvl>
    <w:lvl w:ilvl="3" w:tentative="0">
      <w:start w:val="0"/>
      <w:numFmt w:val="bullet"/>
      <w:lvlText w:val="•"/>
      <w:lvlJc w:val="left"/>
      <w:pPr>
        <w:ind w:left="3946" w:hanging="506"/>
      </w:pPr>
      <w:rPr>
        <w:rFonts w:hint="default"/>
        <w:lang w:val="en-US" w:eastAsia="zh-CN" w:bidi="ar-SA"/>
      </w:rPr>
    </w:lvl>
    <w:lvl w:ilvl="4" w:tentative="0">
      <w:start w:val="0"/>
      <w:numFmt w:val="bullet"/>
      <w:lvlText w:val="•"/>
      <w:lvlJc w:val="left"/>
      <w:pPr>
        <w:ind w:left="4928" w:hanging="506"/>
      </w:pPr>
      <w:rPr>
        <w:rFonts w:hint="default"/>
        <w:lang w:val="en-US" w:eastAsia="zh-CN" w:bidi="ar-SA"/>
      </w:rPr>
    </w:lvl>
    <w:lvl w:ilvl="5" w:tentative="0">
      <w:start w:val="0"/>
      <w:numFmt w:val="bullet"/>
      <w:lvlText w:val="•"/>
      <w:lvlJc w:val="left"/>
      <w:pPr>
        <w:ind w:left="5910" w:hanging="506"/>
      </w:pPr>
      <w:rPr>
        <w:rFonts w:hint="default"/>
        <w:lang w:val="en-US" w:eastAsia="zh-CN" w:bidi="ar-SA"/>
      </w:rPr>
    </w:lvl>
    <w:lvl w:ilvl="6" w:tentative="0">
      <w:start w:val="0"/>
      <w:numFmt w:val="bullet"/>
      <w:lvlText w:val="•"/>
      <w:lvlJc w:val="left"/>
      <w:pPr>
        <w:ind w:left="6892" w:hanging="506"/>
      </w:pPr>
      <w:rPr>
        <w:rFonts w:hint="default"/>
        <w:lang w:val="en-US" w:eastAsia="zh-CN" w:bidi="ar-SA"/>
      </w:rPr>
    </w:lvl>
    <w:lvl w:ilvl="7" w:tentative="0">
      <w:start w:val="0"/>
      <w:numFmt w:val="bullet"/>
      <w:lvlText w:val="•"/>
      <w:lvlJc w:val="left"/>
      <w:pPr>
        <w:ind w:left="7874" w:hanging="506"/>
      </w:pPr>
      <w:rPr>
        <w:rFonts w:hint="default"/>
        <w:lang w:val="en-US" w:eastAsia="zh-CN" w:bidi="ar-SA"/>
      </w:rPr>
    </w:lvl>
    <w:lvl w:ilvl="8" w:tentative="0">
      <w:start w:val="0"/>
      <w:numFmt w:val="bullet"/>
      <w:lvlText w:val="•"/>
      <w:lvlJc w:val="left"/>
      <w:pPr>
        <w:ind w:left="8856" w:hanging="506"/>
      </w:pPr>
      <w:rPr>
        <w:rFonts w:hint="default"/>
        <w:lang w:val="en-US" w:eastAsia="zh-CN" w:bidi="ar-SA"/>
      </w:rPr>
    </w:lvl>
  </w:abstractNum>
  <w:abstractNum w:abstractNumId="19">
    <w:nsid w:val="58765686"/>
    <w:multiLevelType w:val="multilevel"/>
    <w:tmpl w:val="58765686"/>
    <w:lvl w:ilvl="0" w:tentative="0">
      <w:start w:val="1"/>
      <w:numFmt w:val="decimal"/>
      <w:lvlText w:val="%1."/>
      <w:lvlJc w:val="left"/>
      <w:pPr>
        <w:ind w:left="672" w:hanging="183"/>
        <w:jc w:val="left"/>
      </w:pPr>
      <w:rPr>
        <w:rFonts w:hint="default" w:ascii="Meiryo" w:hAnsi="Meiryo" w:eastAsia="Meiryo" w:cs="Meiryo"/>
        <w:spacing w:val="-3"/>
        <w:w w:val="92"/>
        <w:sz w:val="17"/>
        <w:szCs w:val="17"/>
        <w:lang w:val="en-US" w:eastAsia="zh-CN" w:bidi="ar-SA"/>
      </w:rPr>
    </w:lvl>
    <w:lvl w:ilvl="1" w:tentative="0">
      <w:start w:val="0"/>
      <w:numFmt w:val="bullet"/>
      <w:lvlText w:val="•"/>
      <w:lvlJc w:val="left"/>
      <w:pPr>
        <w:ind w:left="1694" w:hanging="183"/>
      </w:pPr>
      <w:rPr>
        <w:rFonts w:hint="default"/>
        <w:lang w:val="en-US" w:eastAsia="zh-CN" w:bidi="ar-SA"/>
      </w:rPr>
    </w:lvl>
    <w:lvl w:ilvl="2" w:tentative="0">
      <w:start w:val="0"/>
      <w:numFmt w:val="bullet"/>
      <w:lvlText w:val="•"/>
      <w:lvlJc w:val="left"/>
      <w:pPr>
        <w:ind w:left="2708" w:hanging="183"/>
      </w:pPr>
      <w:rPr>
        <w:rFonts w:hint="default"/>
        <w:lang w:val="en-US" w:eastAsia="zh-CN" w:bidi="ar-SA"/>
      </w:rPr>
    </w:lvl>
    <w:lvl w:ilvl="3" w:tentative="0">
      <w:start w:val="0"/>
      <w:numFmt w:val="bullet"/>
      <w:lvlText w:val="•"/>
      <w:lvlJc w:val="left"/>
      <w:pPr>
        <w:ind w:left="3722" w:hanging="183"/>
      </w:pPr>
      <w:rPr>
        <w:rFonts w:hint="default"/>
        <w:lang w:val="en-US" w:eastAsia="zh-CN" w:bidi="ar-SA"/>
      </w:rPr>
    </w:lvl>
    <w:lvl w:ilvl="4" w:tentative="0">
      <w:start w:val="0"/>
      <w:numFmt w:val="bullet"/>
      <w:lvlText w:val="•"/>
      <w:lvlJc w:val="left"/>
      <w:pPr>
        <w:ind w:left="4736" w:hanging="183"/>
      </w:pPr>
      <w:rPr>
        <w:rFonts w:hint="default"/>
        <w:lang w:val="en-US" w:eastAsia="zh-CN" w:bidi="ar-SA"/>
      </w:rPr>
    </w:lvl>
    <w:lvl w:ilvl="5" w:tentative="0">
      <w:start w:val="0"/>
      <w:numFmt w:val="bullet"/>
      <w:lvlText w:val="•"/>
      <w:lvlJc w:val="left"/>
      <w:pPr>
        <w:ind w:left="5750" w:hanging="183"/>
      </w:pPr>
      <w:rPr>
        <w:rFonts w:hint="default"/>
        <w:lang w:val="en-US" w:eastAsia="zh-CN" w:bidi="ar-SA"/>
      </w:rPr>
    </w:lvl>
    <w:lvl w:ilvl="6" w:tentative="0">
      <w:start w:val="0"/>
      <w:numFmt w:val="bullet"/>
      <w:lvlText w:val="•"/>
      <w:lvlJc w:val="left"/>
      <w:pPr>
        <w:ind w:left="6764" w:hanging="183"/>
      </w:pPr>
      <w:rPr>
        <w:rFonts w:hint="default"/>
        <w:lang w:val="en-US" w:eastAsia="zh-CN" w:bidi="ar-SA"/>
      </w:rPr>
    </w:lvl>
    <w:lvl w:ilvl="7" w:tentative="0">
      <w:start w:val="0"/>
      <w:numFmt w:val="bullet"/>
      <w:lvlText w:val="•"/>
      <w:lvlJc w:val="left"/>
      <w:pPr>
        <w:ind w:left="7778" w:hanging="183"/>
      </w:pPr>
      <w:rPr>
        <w:rFonts w:hint="default"/>
        <w:lang w:val="en-US" w:eastAsia="zh-CN" w:bidi="ar-SA"/>
      </w:rPr>
    </w:lvl>
    <w:lvl w:ilvl="8" w:tentative="0">
      <w:start w:val="0"/>
      <w:numFmt w:val="bullet"/>
      <w:lvlText w:val="•"/>
      <w:lvlJc w:val="left"/>
      <w:pPr>
        <w:ind w:left="8792" w:hanging="183"/>
      </w:pPr>
      <w:rPr>
        <w:rFonts w:hint="default"/>
        <w:lang w:val="en-US" w:eastAsia="zh-CN" w:bidi="ar-SA"/>
      </w:rPr>
    </w:lvl>
  </w:abstractNum>
  <w:abstractNum w:abstractNumId="20">
    <w:nsid w:val="5A241D34"/>
    <w:multiLevelType w:val="multilevel"/>
    <w:tmpl w:val="5A241D34"/>
    <w:lvl w:ilvl="0" w:tentative="0">
      <w:start w:val="1"/>
      <w:numFmt w:val="decimal"/>
      <w:lvlText w:val="（%1）"/>
      <w:lvlJc w:val="left"/>
      <w:pPr>
        <w:ind w:left="106" w:hanging="506"/>
        <w:jc w:val="left"/>
      </w:pPr>
      <w:rPr>
        <w:rFonts w:hint="default" w:ascii="宋体" w:hAnsi="宋体" w:eastAsia="宋体" w:cs="宋体"/>
        <w:spacing w:val="-3"/>
        <w:w w:val="101"/>
        <w:sz w:val="17"/>
        <w:szCs w:val="17"/>
        <w:lang w:val="en-US" w:eastAsia="zh-CN" w:bidi="ar-SA"/>
      </w:rPr>
    </w:lvl>
    <w:lvl w:ilvl="1" w:tentative="0">
      <w:start w:val="0"/>
      <w:numFmt w:val="bullet"/>
      <w:lvlText w:val="•"/>
      <w:lvlJc w:val="left"/>
      <w:pPr>
        <w:ind w:left="1172" w:hanging="506"/>
      </w:pPr>
      <w:rPr>
        <w:rFonts w:hint="default"/>
        <w:lang w:val="en-US" w:eastAsia="zh-CN" w:bidi="ar-SA"/>
      </w:rPr>
    </w:lvl>
    <w:lvl w:ilvl="2" w:tentative="0">
      <w:start w:val="0"/>
      <w:numFmt w:val="bullet"/>
      <w:lvlText w:val="•"/>
      <w:lvlJc w:val="left"/>
      <w:pPr>
        <w:ind w:left="2244" w:hanging="506"/>
      </w:pPr>
      <w:rPr>
        <w:rFonts w:hint="default"/>
        <w:lang w:val="en-US" w:eastAsia="zh-CN" w:bidi="ar-SA"/>
      </w:rPr>
    </w:lvl>
    <w:lvl w:ilvl="3" w:tentative="0">
      <w:start w:val="0"/>
      <w:numFmt w:val="bullet"/>
      <w:lvlText w:val="•"/>
      <w:lvlJc w:val="left"/>
      <w:pPr>
        <w:ind w:left="3316" w:hanging="506"/>
      </w:pPr>
      <w:rPr>
        <w:rFonts w:hint="default"/>
        <w:lang w:val="en-US" w:eastAsia="zh-CN" w:bidi="ar-SA"/>
      </w:rPr>
    </w:lvl>
    <w:lvl w:ilvl="4" w:tentative="0">
      <w:start w:val="0"/>
      <w:numFmt w:val="bullet"/>
      <w:lvlText w:val="•"/>
      <w:lvlJc w:val="left"/>
      <w:pPr>
        <w:ind w:left="4388" w:hanging="506"/>
      </w:pPr>
      <w:rPr>
        <w:rFonts w:hint="default"/>
        <w:lang w:val="en-US" w:eastAsia="zh-CN" w:bidi="ar-SA"/>
      </w:rPr>
    </w:lvl>
    <w:lvl w:ilvl="5" w:tentative="0">
      <w:start w:val="0"/>
      <w:numFmt w:val="bullet"/>
      <w:lvlText w:val="•"/>
      <w:lvlJc w:val="left"/>
      <w:pPr>
        <w:ind w:left="5460" w:hanging="506"/>
      </w:pPr>
      <w:rPr>
        <w:rFonts w:hint="default"/>
        <w:lang w:val="en-US" w:eastAsia="zh-CN" w:bidi="ar-SA"/>
      </w:rPr>
    </w:lvl>
    <w:lvl w:ilvl="6" w:tentative="0">
      <w:start w:val="0"/>
      <w:numFmt w:val="bullet"/>
      <w:lvlText w:val="•"/>
      <w:lvlJc w:val="left"/>
      <w:pPr>
        <w:ind w:left="6532" w:hanging="506"/>
      </w:pPr>
      <w:rPr>
        <w:rFonts w:hint="default"/>
        <w:lang w:val="en-US" w:eastAsia="zh-CN" w:bidi="ar-SA"/>
      </w:rPr>
    </w:lvl>
    <w:lvl w:ilvl="7" w:tentative="0">
      <w:start w:val="0"/>
      <w:numFmt w:val="bullet"/>
      <w:lvlText w:val="•"/>
      <w:lvlJc w:val="left"/>
      <w:pPr>
        <w:ind w:left="7604" w:hanging="506"/>
      </w:pPr>
      <w:rPr>
        <w:rFonts w:hint="default"/>
        <w:lang w:val="en-US" w:eastAsia="zh-CN" w:bidi="ar-SA"/>
      </w:rPr>
    </w:lvl>
    <w:lvl w:ilvl="8" w:tentative="0">
      <w:start w:val="0"/>
      <w:numFmt w:val="bullet"/>
      <w:lvlText w:val="•"/>
      <w:lvlJc w:val="left"/>
      <w:pPr>
        <w:ind w:left="8676" w:hanging="506"/>
      </w:pPr>
      <w:rPr>
        <w:rFonts w:hint="default"/>
        <w:lang w:val="en-US" w:eastAsia="zh-CN" w:bidi="ar-SA"/>
      </w:rPr>
    </w:lvl>
  </w:abstractNum>
  <w:abstractNum w:abstractNumId="21">
    <w:nsid w:val="77ECEA79"/>
    <w:multiLevelType w:val="multilevel"/>
    <w:tmpl w:val="77ECEA79"/>
    <w:lvl w:ilvl="0" w:tentative="0">
      <w:start w:val="0"/>
      <w:numFmt w:val="bullet"/>
      <w:lvlText w:val="☐"/>
      <w:lvlJc w:val="left"/>
      <w:pPr>
        <w:ind w:left="273" w:hanging="174"/>
      </w:pPr>
      <w:rPr>
        <w:rFonts w:hint="default" w:ascii="Meiryo" w:hAnsi="Meiryo" w:eastAsia="Meiryo" w:cs="Meiryo"/>
        <w:spacing w:val="-5"/>
        <w:w w:val="105"/>
        <w:sz w:val="17"/>
        <w:szCs w:val="17"/>
        <w:lang w:val="en-US" w:eastAsia="zh-CN" w:bidi="ar-SA"/>
      </w:rPr>
    </w:lvl>
    <w:lvl w:ilvl="1" w:tentative="0">
      <w:start w:val="0"/>
      <w:numFmt w:val="bullet"/>
      <w:lvlText w:val="•"/>
      <w:lvlJc w:val="left"/>
      <w:pPr>
        <w:ind w:left="743" w:hanging="174"/>
      </w:pPr>
      <w:rPr>
        <w:rFonts w:hint="default"/>
        <w:lang w:val="en-US" w:eastAsia="zh-CN" w:bidi="ar-SA"/>
      </w:rPr>
    </w:lvl>
    <w:lvl w:ilvl="2" w:tentative="0">
      <w:start w:val="0"/>
      <w:numFmt w:val="bullet"/>
      <w:lvlText w:val="•"/>
      <w:lvlJc w:val="left"/>
      <w:pPr>
        <w:ind w:left="1206" w:hanging="174"/>
      </w:pPr>
      <w:rPr>
        <w:rFonts w:hint="default"/>
        <w:lang w:val="en-US" w:eastAsia="zh-CN" w:bidi="ar-SA"/>
      </w:rPr>
    </w:lvl>
    <w:lvl w:ilvl="3" w:tentative="0">
      <w:start w:val="0"/>
      <w:numFmt w:val="bullet"/>
      <w:lvlText w:val="•"/>
      <w:lvlJc w:val="left"/>
      <w:pPr>
        <w:ind w:left="1670" w:hanging="174"/>
      </w:pPr>
      <w:rPr>
        <w:rFonts w:hint="default"/>
        <w:lang w:val="en-US" w:eastAsia="zh-CN" w:bidi="ar-SA"/>
      </w:rPr>
    </w:lvl>
    <w:lvl w:ilvl="4" w:tentative="0">
      <w:start w:val="0"/>
      <w:numFmt w:val="bullet"/>
      <w:lvlText w:val="•"/>
      <w:lvlJc w:val="left"/>
      <w:pPr>
        <w:ind w:left="2133" w:hanging="174"/>
      </w:pPr>
      <w:rPr>
        <w:rFonts w:hint="default"/>
        <w:lang w:val="en-US" w:eastAsia="zh-CN" w:bidi="ar-SA"/>
      </w:rPr>
    </w:lvl>
    <w:lvl w:ilvl="5" w:tentative="0">
      <w:start w:val="0"/>
      <w:numFmt w:val="bullet"/>
      <w:lvlText w:val="•"/>
      <w:lvlJc w:val="left"/>
      <w:pPr>
        <w:ind w:left="2597" w:hanging="174"/>
      </w:pPr>
      <w:rPr>
        <w:rFonts w:hint="default"/>
        <w:lang w:val="en-US" w:eastAsia="zh-CN" w:bidi="ar-SA"/>
      </w:rPr>
    </w:lvl>
    <w:lvl w:ilvl="6" w:tentative="0">
      <w:start w:val="0"/>
      <w:numFmt w:val="bullet"/>
      <w:lvlText w:val="•"/>
      <w:lvlJc w:val="left"/>
      <w:pPr>
        <w:ind w:left="3060" w:hanging="174"/>
      </w:pPr>
      <w:rPr>
        <w:rFonts w:hint="default"/>
        <w:lang w:val="en-US" w:eastAsia="zh-CN" w:bidi="ar-SA"/>
      </w:rPr>
    </w:lvl>
    <w:lvl w:ilvl="7" w:tentative="0">
      <w:start w:val="0"/>
      <w:numFmt w:val="bullet"/>
      <w:lvlText w:val="•"/>
      <w:lvlJc w:val="left"/>
      <w:pPr>
        <w:ind w:left="3524" w:hanging="174"/>
      </w:pPr>
      <w:rPr>
        <w:rFonts w:hint="default"/>
        <w:lang w:val="en-US" w:eastAsia="zh-CN" w:bidi="ar-SA"/>
      </w:rPr>
    </w:lvl>
    <w:lvl w:ilvl="8" w:tentative="0">
      <w:start w:val="0"/>
      <w:numFmt w:val="bullet"/>
      <w:lvlText w:val="•"/>
      <w:lvlJc w:val="left"/>
      <w:pPr>
        <w:ind w:left="3987" w:hanging="174"/>
      </w:pPr>
      <w:rPr>
        <w:rFonts w:hint="default"/>
        <w:lang w:val="en-US" w:eastAsia="zh-CN" w:bidi="ar-SA"/>
      </w:rPr>
    </w:lvl>
  </w:abstractNum>
  <w:abstractNum w:abstractNumId="22">
    <w:nsid w:val="7C246926"/>
    <w:multiLevelType w:val="multilevel"/>
    <w:tmpl w:val="7C246926"/>
    <w:lvl w:ilvl="0" w:tentative="0">
      <w:start w:val="1"/>
      <w:numFmt w:val="decimal"/>
      <w:lvlText w:val="%1."/>
      <w:lvlJc w:val="left"/>
      <w:pPr>
        <w:ind w:left="340" w:hanging="241"/>
        <w:jc w:val="left"/>
      </w:pPr>
      <w:rPr>
        <w:rFonts w:hint="default" w:ascii="Meiryo" w:hAnsi="Meiryo" w:eastAsia="Meiryo" w:cs="Meiryo"/>
        <w:spacing w:val="-3"/>
        <w:w w:val="92"/>
        <w:sz w:val="19"/>
        <w:szCs w:val="19"/>
        <w:lang w:val="en-US" w:eastAsia="zh-CN" w:bidi="ar-SA"/>
      </w:rPr>
    </w:lvl>
    <w:lvl w:ilvl="1" w:tentative="0">
      <w:start w:val="0"/>
      <w:numFmt w:val="bullet"/>
      <w:lvlText w:val="•"/>
      <w:lvlJc w:val="left"/>
      <w:pPr>
        <w:ind w:left="1128" w:hanging="241"/>
      </w:pPr>
      <w:rPr>
        <w:rFonts w:hint="default"/>
        <w:lang w:val="en-US" w:eastAsia="zh-CN" w:bidi="ar-SA"/>
      </w:rPr>
    </w:lvl>
    <w:lvl w:ilvl="2" w:tentative="0">
      <w:start w:val="0"/>
      <w:numFmt w:val="bullet"/>
      <w:lvlText w:val="•"/>
      <w:lvlJc w:val="left"/>
      <w:pPr>
        <w:ind w:left="1916" w:hanging="241"/>
      </w:pPr>
      <w:rPr>
        <w:rFonts w:hint="default"/>
        <w:lang w:val="en-US" w:eastAsia="zh-CN" w:bidi="ar-SA"/>
      </w:rPr>
    </w:lvl>
    <w:lvl w:ilvl="3" w:tentative="0">
      <w:start w:val="0"/>
      <w:numFmt w:val="bullet"/>
      <w:lvlText w:val="•"/>
      <w:lvlJc w:val="left"/>
      <w:pPr>
        <w:ind w:left="2704" w:hanging="241"/>
      </w:pPr>
      <w:rPr>
        <w:rFonts w:hint="default"/>
        <w:lang w:val="en-US" w:eastAsia="zh-CN" w:bidi="ar-SA"/>
      </w:rPr>
    </w:lvl>
    <w:lvl w:ilvl="4" w:tentative="0">
      <w:start w:val="0"/>
      <w:numFmt w:val="bullet"/>
      <w:lvlText w:val="•"/>
      <w:lvlJc w:val="left"/>
      <w:pPr>
        <w:ind w:left="3492" w:hanging="241"/>
      </w:pPr>
      <w:rPr>
        <w:rFonts w:hint="default"/>
        <w:lang w:val="en-US" w:eastAsia="zh-CN" w:bidi="ar-SA"/>
      </w:rPr>
    </w:lvl>
    <w:lvl w:ilvl="5" w:tentative="0">
      <w:start w:val="0"/>
      <w:numFmt w:val="bullet"/>
      <w:lvlText w:val="•"/>
      <w:lvlJc w:val="left"/>
      <w:pPr>
        <w:ind w:left="4280" w:hanging="241"/>
      </w:pPr>
      <w:rPr>
        <w:rFonts w:hint="default"/>
        <w:lang w:val="en-US" w:eastAsia="zh-CN" w:bidi="ar-SA"/>
      </w:rPr>
    </w:lvl>
    <w:lvl w:ilvl="6" w:tentative="0">
      <w:start w:val="0"/>
      <w:numFmt w:val="bullet"/>
      <w:lvlText w:val="•"/>
      <w:lvlJc w:val="left"/>
      <w:pPr>
        <w:ind w:left="5068" w:hanging="241"/>
      </w:pPr>
      <w:rPr>
        <w:rFonts w:hint="default"/>
        <w:lang w:val="en-US" w:eastAsia="zh-CN" w:bidi="ar-SA"/>
      </w:rPr>
    </w:lvl>
    <w:lvl w:ilvl="7" w:tentative="0">
      <w:start w:val="0"/>
      <w:numFmt w:val="bullet"/>
      <w:lvlText w:val="•"/>
      <w:lvlJc w:val="left"/>
      <w:pPr>
        <w:ind w:left="5856" w:hanging="241"/>
      </w:pPr>
      <w:rPr>
        <w:rFonts w:hint="default"/>
        <w:lang w:val="en-US" w:eastAsia="zh-CN" w:bidi="ar-SA"/>
      </w:rPr>
    </w:lvl>
    <w:lvl w:ilvl="8" w:tentative="0">
      <w:start w:val="0"/>
      <w:numFmt w:val="bullet"/>
      <w:lvlText w:val="•"/>
      <w:lvlJc w:val="left"/>
      <w:pPr>
        <w:ind w:left="6644" w:hanging="241"/>
      </w:pPr>
      <w:rPr>
        <w:rFonts w:hint="default"/>
        <w:lang w:val="en-US" w:eastAsia="zh-CN" w:bidi="ar-SA"/>
      </w:rPr>
    </w:lvl>
  </w:abstractNum>
  <w:abstractNum w:abstractNumId="23">
    <w:nsid w:val="7DEC2089"/>
    <w:multiLevelType w:val="multilevel"/>
    <w:tmpl w:val="7DEC2089"/>
    <w:lvl w:ilvl="0" w:tentative="0">
      <w:start w:val="1"/>
      <w:numFmt w:val="decimal"/>
      <w:lvlText w:val="%1."/>
      <w:lvlJc w:val="left"/>
      <w:pPr>
        <w:ind w:left="672" w:hanging="183"/>
        <w:jc w:val="left"/>
      </w:pPr>
      <w:rPr>
        <w:rFonts w:hint="default" w:ascii="Meiryo" w:hAnsi="Meiryo" w:eastAsia="Meiryo" w:cs="Meiryo"/>
        <w:spacing w:val="-3"/>
        <w:w w:val="92"/>
        <w:sz w:val="17"/>
        <w:szCs w:val="17"/>
        <w:lang w:val="en-US" w:eastAsia="zh-CN" w:bidi="ar-SA"/>
      </w:rPr>
    </w:lvl>
    <w:lvl w:ilvl="1" w:tentative="0">
      <w:start w:val="0"/>
      <w:numFmt w:val="bullet"/>
      <w:lvlText w:val="•"/>
      <w:lvlJc w:val="left"/>
      <w:pPr>
        <w:ind w:left="1694" w:hanging="183"/>
      </w:pPr>
      <w:rPr>
        <w:rFonts w:hint="default"/>
        <w:lang w:val="en-US" w:eastAsia="zh-CN" w:bidi="ar-SA"/>
      </w:rPr>
    </w:lvl>
    <w:lvl w:ilvl="2" w:tentative="0">
      <w:start w:val="0"/>
      <w:numFmt w:val="bullet"/>
      <w:lvlText w:val="•"/>
      <w:lvlJc w:val="left"/>
      <w:pPr>
        <w:ind w:left="2708" w:hanging="183"/>
      </w:pPr>
      <w:rPr>
        <w:rFonts w:hint="default"/>
        <w:lang w:val="en-US" w:eastAsia="zh-CN" w:bidi="ar-SA"/>
      </w:rPr>
    </w:lvl>
    <w:lvl w:ilvl="3" w:tentative="0">
      <w:start w:val="0"/>
      <w:numFmt w:val="bullet"/>
      <w:lvlText w:val="•"/>
      <w:lvlJc w:val="left"/>
      <w:pPr>
        <w:ind w:left="3722" w:hanging="183"/>
      </w:pPr>
      <w:rPr>
        <w:rFonts w:hint="default"/>
        <w:lang w:val="en-US" w:eastAsia="zh-CN" w:bidi="ar-SA"/>
      </w:rPr>
    </w:lvl>
    <w:lvl w:ilvl="4" w:tentative="0">
      <w:start w:val="0"/>
      <w:numFmt w:val="bullet"/>
      <w:lvlText w:val="•"/>
      <w:lvlJc w:val="left"/>
      <w:pPr>
        <w:ind w:left="4736" w:hanging="183"/>
      </w:pPr>
      <w:rPr>
        <w:rFonts w:hint="default"/>
        <w:lang w:val="en-US" w:eastAsia="zh-CN" w:bidi="ar-SA"/>
      </w:rPr>
    </w:lvl>
    <w:lvl w:ilvl="5" w:tentative="0">
      <w:start w:val="0"/>
      <w:numFmt w:val="bullet"/>
      <w:lvlText w:val="•"/>
      <w:lvlJc w:val="left"/>
      <w:pPr>
        <w:ind w:left="5750" w:hanging="183"/>
      </w:pPr>
      <w:rPr>
        <w:rFonts w:hint="default"/>
        <w:lang w:val="en-US" w:eastAsia="zh-CN" w:bidi="ar-SA"/>
      </w:rPr>
    </w:lvl>
    <w:lvl w:ilvl="6" w:tentative="0">
      <w:start w:val="0"/>
      <w:numFmt w:val="bullet"/>
      <w:lvlText w:val="•"/>
      <w:lvlJc w:val="left"/>
      <w:pPr>
        <w:ind w:left="6764" w:hanging="183"/>
      </w:pPr>
      <w:rPr>
        <w:rFonts w:hint="default"/>
        <w:lang w:val="en-US" w:eastAsia="zh-CN" w:bidi="ar-SA"/>
      </w:rPr>
    </w:lvl>
    <w:lvl w:ilvl="7" w:tentative="0">
      <w:start w:val="0"/>
      <w:numFmt w:val="bullet"/>
      <w:lvlText w:val="•"/>
      <w:lvlJc w:val="left"/>
      <w:pPr>
        <w:ind w:left="7778" w:hanging="183"/>
      </w:pPr>
      <w:rPr>
        <w:rFonts w:hint="default"/>
        <w:lang w:val="en-US" w:eastAsia="zh-CN" w:bidi="ar-SA"/>
      </w:rPr>
    </w:lvl>
    <w:lvl w:ilvl="8" w:tentative="0">
      <w:start w:val="0"/>
      <w:numFmt w:val="bullet"/>
      <w:lvlText w:val="•"/>
      <w:lvlJc w:val="left"/>
      <w:pPr>
        <w:ind w:left="8792" w:hanging="183"/>
      </w:pPr>
      <w:rPr>
        <w:rFonts w:hint="default"/>
        <w:lang w:val="en-US" w:eastAsia="zh-CN" w:bidi="ar-SA"/>
      </w:rPr>
    </w:lvl>
  </w:abstractNum>
  <w:num w:numId="1">
    <w:abstractNumId w:val="9"/>
  </w:num>
  <w:num w:numId="2">
    <w:abstractNumId w:val="16"/>
  </w:num>
  <w:num w:numId="3">
    <w:abstractNumId w:val="12"/>
  </w:num>
  <w:num w:numId="4">
    <w:abstractNumId w:val="3"/>
  </w:num>
  <w:num w:numId="5">
    <w:abstractNumId w:val="15"/>
  </w:num>
  <w:num w:numId="6">
    <w:abstractNumId w:val="14"/>
  </w:num>
  <w:num w:numId="7">
    <w:abstractNumId w:val="20"/>
  </w:num>
  <w:num w:numId="8">
    <w:abstractNumId w:val="7"/>
  </w:num>
  <w:num w:numId="9">
    <w:abstractNumId w:val="18"/>
  </w:num>
  <w:num w:numId="10">
    <w:abstractNumId w:val="11"/>
  </w:num>
  <w:num w:numId="11">
    <w:abstractNumId w:val="13"/>
  </w:num>
  <w:num w:numId="12">
    <w:abstractNumId w:val="10"/>
  </w:num>
  <w:num w:numId="13">
    <w:abstractNumId w:val="8"/>
  </w:num>
  <w:num w:numId="14">
    <w:abstractNumId w:val="4"/>
  </w:num>
  <w:num w:numId="15">
    <w:abstractNumId w:val="2"/>
  </w:num>
  <w:num w:numId="16">
    <w:abstractNumId w:val="5"/>
  </w:num>
  <w:num w:numId="17">
    <w:abstractNumId w:val="22"/>
  </w:num>
  <w:num w:numId="18">
    <w:abstractNumId w:val="21"/>
  </w:num>
  <w:num w:numId="19">
    <w:abstractNumId w:val="1"/>
  </w:num>
  <w:num w:numId="20">
    <w:abstractNumId w:val="17"/>
  </w:num>
  <w:num w:numId="21">
    <w:abstractNumId w:val="6"/>
  </w:num>
  <w:num w:numId="22">
    <w:abstractNumId w:val="0"/>
  </w:num>
  <w:num w:numId="23">
    <w:abstractNumId w:val="19"/>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01D062B"/>
    <w:rsid w:val="00276E33"/>
    <w:rsid w:val="0078768E"/>
    <w:rsid w:val="0099306C"/>
    <w:rsid w:val="00DE3995"/>
    <w:rsid w:val="01A93FA3"/>
    <w:rsid w:val="01A94DBD"/>
    <w:rsid w:val="021F7DC1"/>
    <w:rsid w:val="02D33D66"/>
    <w:rsid w:val="02FB3419"/>
    <w:rsid w:val="03253AFD"/>
    <w:rsid w:val="03630F2F"/>
    <w:rsid w:val="03AA6231"/>
    <w:rsid w:val="03B37458"/>
    <w:rsid w:val="04603FC1"/>
    <w:rsid w:val="04DF5F2E"/>
    <w:rsid w:val="04F24FB9"/>
    <w:rsid w:val="050140F6"/>
    <w:rsid w:val="0505428E"/>
    <w:rsid w:val="05387E70"/>
    <w:rsid w:val="0573381E"/>
    <w:rsid w:val="05780D78"/>
    <w:rsid w:val="05D03B7D"/>
    <w:rsid w:val="06A11A06"/>
    <w:rsid w:val="06BE26AD"/>
    <w:rsid w:val="06EC66E0"/>
    <w:rsid w:val="07234E34"/>
    <w:rsid w:val="07BE74DF"/>
    <w:rsid w:val="08B00E4D"/>
    <w:rsid w:val="08EE4992"/>
    <w:rsid w:val="09081772"/>
    <w:rsid w:val="09287EA3"/>
    <w:rsid w:val="095F763D"/>
    <w:rsid w:val="0966277A"/>
    <w:rsid w:val="0977651D"/>
    <w:rsid w:val="099E63A5"/>
    <w:rsid w:val="09C83435"/>
    <w:rsid w:val="09DB4F16"/>
    <w:rsid w:val="09F71433"/>
    <w:rsid w:val="0A0C1262"/>
    <w:rsid w:val="0A6273E5"/>
    <w:rsid w:val="0A717628"/>
    <w:rsid w:val="0A8548AF"/>
    <w:rsid w:val="0B196948"/>
    <w:rsid w:val="0B6516F1"/>
    <w:rsid w:val="0B8769D7"/>
    <w:rsid w:val="0C0B0DAD"/>
    <w:rsid w:val="0C4E3235"/>
    <w:rsid w:val="0C843E16"/>
    <w:rsid w:val="0CC24A1F"/>
    <w:rsid w:val="0CDD19E3"/>
    <w:rsid w:val="0CFC2A01"/>
    <w:rsid w:val="0D077DD0"/>
    <w:rsid w:val="0D4F7AC0"/>
    <w:rsid w:val="0D7F18AF"/>
    <w:rsid w:val="0DA6583B"/>
    <w:rsid w:val="0E043E9D"/>
    <w:rsid w:val="0E63197E"/>
    <w:rsid w:val="0E7B12F1"/>
    <w:rsid w:val="0EE26D46"/>
    <w:rsid w:val="0EF14A15"/>
    <w:rsid w:val="0F234C69"/>
    <w:rsid w:val="101D1133"/>
    <w:rsid w:val="10257BC8"/>
    <w:rsid w:val="10A1798E"/>
    <w:rsid w:val="10B47A5E"/>
    <w:rsid w:val="10B84D24"/>
    <w:rsid w:val="10C169AD"/>
    <w:rsid w:val="10DE52EC"/>
    <w:rsid w:val="10EC24A6"/>
    <w:rsid w:val="10FA76E0"/>
    <w:rsid w:val="1119091B"/>
    <w:rsid w:val="114535BD"/>
    <w:rsid w:val="12AA1929"/>
    <w:rsid w:val="12C81435"/>
    <w:rsid w:val="13785584"/>
    <w:rsid w:val="139879D4"/>
    <w:rsid w:val="14057F33"/>
    <w:rsid w:val="143F76DC"/>
    <w:rsid w:val="145C4EA5"/>
    <w:rsid w:val="157A2F8C"/>
    <w:rsid w:val="15B57818"/>
    <w:rsid w:val="161C423B"/>
    <w:rsid w:val="162C08A7"/>
    <w:rsid w:val="16D50F3F"/>
    <w:rsid w:val="17A96653"/>
    <w:rsid w:val="17E72CD8"/>
    <w:rsid w:val="17F02CDB"/>
    <w:rsid w:val="18941CDE"/>
    <w:rsid w:val="189C3090"/>
    <w:rsid w:val="193B73BF"/>
    <w:rsid w:val="19953D08"/>
    <w:rsid w:val="19BE7973"/>
    <w:rsid w:val="1A3441CE"/>
    <w:rsid w:val="1A5D655D"/>
    <w:rsid w:val="1A750A6F"/>
    <w:rsid w:val="1A91693E"/>
    <w:rsid w:val="1AA43AE3"/>
    <w:rsid w:val="1AAB05D8"/>
    <w:rsid w:val="1AB058BC"/>
    <w:rsid w:val="1AC11F06"/>
    <w:rsid w:val="1ACA05CD"/>
    <w:rsid w:val="1AF520A9"/>
    <w:rsid w:val="1B4A0B82"/>
    <w:rsid w:val="1BCD6794"/>
    <w:rsid w:val="1BFA24E2"/>
    <w:rsid w:val="1C752FA8"/>
    <w:rsid w:val="1CBB1806"/>
    <w:rsid w:val="1CCE05A6"/>
    <w:rsid w:val="1CFD169B"/>
    <w:rsid w:val="1D1B3E84"/>
    <w:rsid w:val="1D907A43"/>
    <w:rsid w:val="1E2E20E9"/>
    <w:rsid w:val="1E584AEA"/>
    <w:rsid w:val="1E692F26"/>
    <w:rsid w:val="1E8F6464"/>
    <w:rsid w:val="1E9B481C"/>
    <w:rsid w:val="1ED805F3"/>
    <w:rsid w:val="1EF429FD"/>
    <w:rsid w:val="1F086793"/>
    <w:rsid w:val="1F6F0182"/>
    <w:rsid w:val="1F866589"/>
    <w:rsid w:val="1F870A28"/>
    <w:rsid w:val="1F9D1312"/>
    <w:rsid w:val="1FCB2EDF"/>
    <w:rsid w:val="2011123A"/>
    <w:rsid w:val="20653333"/>
    <w:rsid w:val="208A457E"/>
    <w:rsid w:val="20A77228"/>
    <w:rsid w:val="20EA52BD"/>
    <w:rsid w:val="21321D02"/>
    <w:rsid w:val="215018EE"/>
    <w:rsid w:val="219A7F93"/>
    <w:rsid w:val="21BF3FDE"/>
    <w:rsid w:val="22B4600F"/>
    <w:rsid w:val="22BF4F15"/>
    <w:rsid w:val="22F85C6E"/>
    <w:rsid w:val="23425BAE"/>
    <w:rsid w:val="23A36435"/>
    <w:rsid w:val="23BC14BC"/>
    <w:rsid w:val="24253506"/>
    <w:rsid w:val="24443260"/>
    <w:rsid w:val="25965D3D"/>
    <w:rsid w:val="25996DFD"/>
    <w:rsid w:val="265A4FBD"/>
    <w:rsid w:val="26B91CE3"/>
    <w:rsid w:val="26D5478A"/>
    <w:rsid w:val="26D66D39"/>
    <w:rsid w:val="27922AE6"/>
    <w:rsid w:val="28235FAE"/>
    <w:rsid w:val="28323451"/>
    <w:rsid w:val="286E6AFD"/>
    <w:rsid w:val="289243A6"/>
    <w:rsid w:val="28B911A8"/>
    <w:rsid w:val="29194CBB"/>
    <w:rsid w:val="292E0C65"/>
    <w:rsid w:val="297445E7"/>
    <w:rsid w:val="29E51041"/>
    <w:rsid w:val="2A4C78A8"/>
    <w:rsid w:val="2A5B4C35"/>
    <w:rsid w:val="2A756869"/>
    <w:rsid w:val="2B0674F7"/>
    <w:rsid w:val="2B106190"/>
    <w:rsid w:val="2B502143"/>
    <w:rsid w:val="2B720297"/>
    <w:rsid w:val="2B8F5708"/>
    <w:rsid w:val="2C400453"/>
    <w:rsid w:val="2D255D85"/>
    <w:rsid w:val="2D300AC2"/>
    <w:rsid w:val="2DD75D97"/>
    <w:rsid w:val="2E7B5BD0"/>
    <w:rsid w:val="2E846F67"/>
    <w:rsid w:val="2EC8211D"/>
    <w:rsid w:val="2ED94800"/>
    <w:rsid w:val="2EED7B2A"/>
    <w:rsid w:val="2F0B154A"/>
    <w:rsid w:val="2F2C11F4"/>
    <w:rsid w:val="30C93D64"/>
    <w:rsid w:val="31244B45"/>
    <w:rsid w:val="31555872"/>
    <w:rsid w:val="31A87524"/>
    <w:rsid w:val="32347175"/>
    <w:rsid w:val="3260395B"/>
    <w:rsid w:val="32CB34CA"/>
    <w:rsid w:val="32D33B70"/>
    <w:rsid w:val="32F60B43"/>
    <w:rsid w:val="332E5E53"/>
    <w:rsid w:val="33334B00"/>
    <w:rsid w:val="33D80C88"/>
    <w:rsid w:val="34254E5C"/>
    <w:rsid w:val="345238D4"/>
    <w:rsid w:val="34666BD6"/>
    <w:rsid w:val="34BB756E"/>
    <w:rsid w:val="35D66734"/>
    <w:rsid w:val="362E1995"/>
    <w:rsid w:val="36A55DE0"/>
    <w:rsid w:val="36C110DA"/>
    <w:rsid w:val="3717602B"/>
    <w:rsid w:val="37264647"/>
    <w:rsid w:val="37405B09"/>
    <w:rsid w:val="37904CE2"/>
    <w:rsid w:val="380D3D6B"/>
    <w:rsid w:val="3967003D"/>
    <w:rsid w:val="39882115"/>
    <w:rsid w:val="39F01A68"/>
    <w:rsid w:val="3AAF7D73"/>
    <w:rsid w:val="3AC965A3"/>
    <w:rsid w:val="3AE710BD"/>
    <w:rsid w:val="3B085D5F"/>
    <w:rsid w:val="3B0F526C"/>
    <w:rsid w:val="3B3B7666"/>
    <w:rsid w:val="3B530361"/>
    <w:rsid w:val="3B5B1861"/>
    <w:rsid w:val="3B61689A"/>
    <w:rsid w:val="3B7D0072"/>
    <w:rsid w:val="3BA43422"/>
    <w:rsid w:val="3BCB5667"/>
    <w:rsid w:val="3D5D4A50"/>
    <w:rsid w:val="3D7443F1"/>
    <w:rsid w:val="3DD27517"/>
    <w:rsid w:val="3DF24001"/>
    <w:rsid w:val="3DF876D8"/>
    <w:rsid w:val="3E0C2B05"/>
    <w:rsid w:val="3E155F41"/>
    <w:rsid w:val="3FC97978"/>
    <w:rsid w:val="401550DC"/>
    <w:rsid w:val="40532452"/>
    <w:rsid w:val="407C68A9"/>
    <w:rsid w:val="41713E9C"/>
    <w:rsid w:val="41790595"/>
    <w:rsid w:val="41792E71"/>
    <w:rsid w:val="41795BAA"/>
    <w:rsid w:val="41B22EF2"/>
    <w:rsid w:val="41D13F2D"/>
    <w:rsid w:val="41FC63F2"/>
    <w:rsid w:val="42DC702D"/>
    <w:rsid w:val="42FF4972"/>
    <w:rsid w:val="43114090"/>
    <w:rsid w:val="432664FB"/>
    <w:rsid w:val="43525542"/>
    <w:rsid w:val="43645E3D"/>
    <w:rsid w:val="441B5933"/>
    <w:rsid w:val="4442268F"/>
    <w:rsid w:val="44697E79"/>
    <w:rsid w:val="44881A0E"/>
    <w:rsid w:val="44990C74"/>
    <w:rsid w:val="44CC4605"/>
    <w:rsid w:val="452E1696"/>
    <w:rsid w:val="45E215C2"/>
    <w:rsid w:val="46556EB0"/>
    <w:rsid w:val="468C1F7A"/>
    <w:rsid w:val="47047690"/>
    <w:rsid w:val="470741A8"/>
    <w:rsid w:val="47B24BA1"/>
    <w:rsid w:val="47D95A30"/>
    <w:rsid w:val="485C571D"/>
    <w:rsid w:val="48C20922"/>
    <w:rsid w:val="48F21359"/>
    <w:rsid w:val="493139F3"/>
    <w:rsid w:val="499A0D23"/>
    <w:rsid w:val="4A660628"/>
    <w:rsid w:val="4A795233"/>
    <w:rsid w:val="4AE72A13"/>
    <w:rsid w:val="4B106965"/>
    <w:rsid w:val="4B2F1206"/>
    <w:rsid w:val="4B6133C4"/>
    <w:rsid w:val="4B6E6C91"/>
    <w:rsid w:val="4B741B4E"/>
    <w:rsid w:val="4BA426B2"/>
    <w:rsid w:val="4C2C154B"/>
    <w:rsid w:val="4C722150"/>
    <w:rsid w:val="4C884A6A"/>
    <w:rsid w:val="4CA74208"/>
    <w:rsid w:val="4D572089"/>
    <w:rsid w:val="4D970721"/>
    <w:rsid w:val="4E0455BC"/>
    <w:rsid w:val="4EDF237F"/>
    <w:rsid w:val="4FA203C2"/>
    <w:rsid w:val="508608D4"/>
    <w:rsid w:val="50A218B6"/>
    <w:rsid w:val="50B415EA"/>
    <w:rsid w:val="50D43A3A"/>
    <w:rsid w:val="51462C90"/>
    <w:rsid w:val="51786E0F"/>
    <w:rsid w:val="51AF240B"/>
    <w:rsid w:val="51B573C7"/>
    <w:rsid w:val="51D81D35"/>
    <w:rsid w:val="51EA0F61"/>
    <w:rsid w:val="521D01B5"/>
    <w:rsid w:val="524C4BD6"/>
    <w:rsid w:val="526C0013"/>
    <w:rsid w:val="52CF42FB"/>
    <w:rsid w:val="5340576A"/>
    <w:rsid w:val="534D731E"/>
    <w:rsid w:val="536F17F8"/>
    <w:rsid w:val="53D44FAF"/>
    <w:rsid w:val="53D8739D"/>
    <w:rsid w:val="541C7452"/>
    <w:rsid w:val="542E6703"/>
    <w:rsid w:val="54926564"/>
    <w:rsid w:val="54D3470D"/>
    <w:rsid w:val="54F71AA5"/>
    <w:rsid w:val="55406F60"/>
    <w:rsid w:val="55A400DE"/>
    <w:rsid w:val="55B610EE"/>
    <w:rsid w:val="55F7251A"/>
    <w:rsid w:val="55FC1A3A"/>
    <w:rsid w:val="568D446F"/>
    <w:rsid w:val="568E01E7"/>
    <w:rsid w:val="569A3030"/>
    <w:rsid w:val="56E61881"/>
    <w:rsid w:val="570264DE"/>
    <w:rsid w:val="570B7A8A"/>
    <w:rsid w:val="572E34BB"/>
    <w:rsid w:val="57CF6D09"/>
    <w:rsid w:val="590429E2"/>
    <w:rsid w:val="592259E9"/>
    <w:rsid w:val="59D0262B"/>
    <w:rsid w:val="59D91360"/>
    <w:rsid w:val="59EA607C"/>
    <w:rsid w:val="59F94E9A"/>
    <w:rsid w:val="5A1B7FE4"/>
    <w:rsid w:val="5A1C2EE4"/>
    <w:rsid w:val="5A286307"/>
    <w:rsid w:val="5AD75A93"/>
    <w:rsid w:val="5B2D7FCE"/>
    <w:rsid w:val="5BC63156"/>
    <w:rsid w:val="5C1271C4"/>
    <w:rsid w:val="5C2C2010"/>
    <w:rsid w:val="5CAA564F"/>
    <w:rsid w:val="5D5850AB"/>
    <w:rsid w:val="5DB42C29"/>
    <w:rsid w:val="5E1F332D"/>
    <w:rsid w:val="5E6D4A94"/>
    <w:rsid w:val="5EF7108C"/>
    <w:rsid w:val="5EFD2C24"/>
    <w:rsid w:val="5F27742B"/>
    <w:rsid w:val="5F2C1D07"/>
    <w:rsid w:val="5F367CFD"/>
    <w:rsid w:val="5F393021"/>
    <w:rsid w:val="5F417C4D"/>
    <w:rsid w:val="5F8829B2"/>
    <w:rsid w:val="60015265"/>
    <w:rsid w:val="60C90DE1"/>
    <w:rsid w:val="610F677E"/>
    <w:rsid w:val="61622F25"/>
    <w:rsid w:val="617D1309"/>
    <w:rsid w:val="61F8244A"/>
    <w:rsid w:val="6240421B"/>
    <w:rsid w:val="62D26ADB"/>
    <w:rsid w:val="6323406A"/>
    <w:rsid w:val="63F0428F"/>
    <w:rsid w:val="64E41DBA"/>
    <w:rsid w:val="651A79C3"/>
    <w:rsid w:val="65590B7A"/>
    <w:rsid w:val="65F47D27"/>
    <w:rsid w:val="660F6630"/>
    <w:rsid w:val="661B6792"/>
    <w:rsid w:val="668631DE"/>
    <w:rsid w:val="668713F7"/>
    <w:rsid w:val="66E04A8F"/>
    <w:rsid w:val="66F91466"/>
    <w:rsid w:val="673B39AD"/>
    <w:rsid w:val="676E5BF7"/>
    <w:rsid w:val="67C82C85"/>
    <w:rsid w:val="68261114"/>
    <w:rsid w:val="686E3C8A"/>
    <w:rsid w:val="6894168D"/>
    <w:rsid w:val="68ED3493"/>
    <w:rsid w:val="68F465CF"/>
    <w:rsid w:val="691125F2"/>
    <w:rsid w:val="69557BBB"/>
    <w:rsid w:val="69CC12FA"/>
    <w:rsid w:val="6AFB2863"/>
    <w:rsid w:val="6B3B11B9"/>
    <w:rsid w:val="6B67752D"/>
    <w:rsid w:val="6C0E1756"/>
    <w:rsid w:val="6D2C5F8F"/>
    <w:rsid w:val="6D5006C3"/>
    <w:rsid w:val="6D584AFC"/>
    <w:rsid w:val="6D725D15"/>
    <w:rsid w:val="6DB66FE1"/>
    <w:rsid w:val="6DED3E6A"/>
    <w:rsid w:val="6F057177"/>
    <w:rsid w:val="6FCE3484"/>
    <w:rsid w:val="70F353BF"/>
    <w:rsid w:val="711D5908"/>
    <w:rsid w:val="71290DE0"/>
    <w:rsid w:val="715B79CE"/>
    <w:rsid w:val="71A04B11"/>
    <w:rsid w:val="71B10A10"/>
    <w:rsid w:val="71CF3DCB"/>
    <w:rsid w:val="72B02A5B"/>
    <w:rsid w:val="72D95AFA"/>
    <w:rsid w:val="72DE5B9D"/>
    <w:rsid w:val="73047407"/>
    <w:rsid w:val="737E3665"/>
    <w:rsid w:val="73B114CA"/>
    <w:rsid w:val="745B6D8F"/>
    <w:rsid w:val="7505115C"/>
    <w:rsid w:val="75FF1536"/>
    <w:rsid w:val="76A41B15"/>
    <w:rsid w:val="76DD06A3"/>
    <w:rsid w:val="771F0CBB"/>
    <w:rsid w:val="77435591"/>
    <w:rsid w:val="776112D4"/>
    <w:rsid w:val="778F18D5"/>
    <w:rsid w:val="780A706C"/>
    <w:rsid w:val="78B114BE"/>
    <w:rsid w:val="79607369"/>
    <w:rsid w:val="79986B03"/>
    <w:rsid w:val="79A656C4"/>
    <w:rsid w:val="79C74E27"/>
    <w:rsid w:val="79D62325"/>
    <w:rsid w:val="79DC6D0E"/>
    <w:rsid w:val="7A212AE8"/>
    <w:rsid w:val="7A2C39CF"/>
    <w:rsid w:val="7A5213A8"/>
    <w:rsid w:val="7B1677F9"/>
    <w:rsid w:val="7B2F5245"/>
    <w:rsid w:val="7BC97448"/>
    <w:rsid w:val="7C79307A"/>
    <w:rsid w:val="7CA33815"/>
    <w:rsid w:val="7CB55BA6"/>
    <w:rsid w:val="7CBA4FE2"/>
    <w:rsid w:val="7D311748"/>
    <w:rsid w:val="7E4F4918"/>
    <w:rsid w:val="7E722019"/>
    <w:rsid w:val="7EAB6BF5"/>
    <w:rsid w:val="7ECB34D7"/>
    <w:rsid w:val="7F271055"/>
    <w:rsid w:val="7F2E078E"/>
    <w:rsid w:val="7F34107C"/>
    <w:rsid w:val="7F3948E4"/>
    <w:rsid w:val="7F5E0A85"/>
    <w:rsid w:val="7FBA3C7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3"/>
    <w:link w:val="32"/>
    <w:qFormat/>
    <w:uiPriority w:val="1"/>
    <w:pPr>
      <w:spacing w:before="32"/>
      <w:ind w:left="295" w:right="364"/>
      <w:jc w:val="center"/>
      <w:outlineLvl w:val="1"/>
    </w:pPr>
    <w:rPr>
      <w:rFonts w:ascii="宋体" w:hAnsi="宋体" w:eastAsia="宋体" w:cs="宋体"/>
      <w:b/>
      <w:bCs/>
      <w:sz w:val="31"/>
      <w:szCs w:val="31"/>
      <w:lang w:val="en-US" w:eastAsia="zh-CN" w:bidi="ar-SA"/>
    </w:rPr>
  </w:style>
  <w:style w:type="paragraph" w:styleId="4">
    <w:name w:val="heading 2"/>
    <w:basedOn w:val="1"/>
    <w:next w:val="1"/>
    <w:qFormat/>
    <w:uiPriority w:val="1"/>
    <w:pPr>
      <w:ind w:left="777"/>
      <w:outlineLvl w:val="2"/>
    </w:pPr>
    <w:rPr>
      <w:rFonts w:ascii="宋体" w:hAnsi="宋体" w:eastAsia="宋体" w:cs="宋体"/>
      <w:b/>
      <w:bCs/>
      <w:sz w:val="21"/>
      <w:szCs w:val="21"/>
      <w:lang w:val="en-US" w:eastAsia="zh-CN" w:bidi="ar-SA"/>
    </w:rPr>
  </w:style>
  <w:style w:type="paragraph" w:styleId="5">
    <w:name w:val="heading 3"/>
    <w:basedOn w:val="1"/>
    <w:qFormat/>
    <w:uiPriority w:val="1"/>
    <w:pPr>
      <w:spacing w:line="242" w:lineRule="exact"/>
      <w:ind w:left="484"/>
      <w:outlineLvl w:val="3"/>
    </w:pPr>
    <w:rPr>
      <w:rFonts w:ascii="宋体" w:hAnsi="宋体" w:eastAsia="宋体" w:cs="宋体"/>
      <w:b/>
      <w:bCs/>
      <w:sz w:val="19"/>
      <w:szCs w:val="19"/>
      <w:lang w:val="en-US" w:eastAsia="zh-CN" w:bidi="ar-SA"/>
    </w:rPr>
  </w:style>
  <w:style w:type="paragraph" w:styleId="6">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1">
    <w:name w:val="Default Paragraph Font"/>
    <w:semiHidden/>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c 5"/>
    <w:basedOn w:val="1"/>
    <w:next w:val="1"/>
    <w:qFormat/>
    <w:uiPriority w:val="0"/>
    <w:pPr>
      <w:ind w:left="1680" w:leftChars="800"/>
    </w:pPr>
  </w:style>
  <w:style w:type="paragraph" w:styleId="7">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w:basedOn w:val="1"/>
    <w:next w:val="1"/>
    <w:qFormat/>
    <w:uiPriority w:val="1"/>
    <w:pPr>
      <w:ind w:left="490"/>
    </w:pPr>
    <w:rPr>
      <w:rFonts w:ascii="宋体" w:hAnsi="宋体" w:eastAsia="宋体" w:cs="宋体"/>
      <w:sz w:val="19"/>
      <w:szCs w:val="19"/>
      <w:lang w:val="en-US" w:eastAsia="zh-CN" w:bidi="ar-SA"/>
    </w:rPr>
  </w:style>
  <w:style w:type="paragraph" w:styleId="10">
    <w:name w:val="Body Text Indent"/>
    <w:basedOn w:val="1"/>
    <w:next w:val="1"/>
    <w:qFormat/>
    <w:uiPriority w:val="0"/>
    <w:pPr>
      <w:autoSpaceDE w:val="0"/>
      <w:autoSpaceDN w:val="0"/>
      <w:adjustRightInd w:val="0"/>
      <w:spacing w:line="290" w:lineRule="atLeast"/>
      <w:ind w:firstLine="400"/>
    </w:pPr>
    <w:rPr>
      <w:rFonts w:ascii="楷体_GB2312" w:eastAsia="楷体_GB2312"/>
      <w:sz w:val="24"/>
    </w:rPr>
  </w:style>
  <w:style w:type="paragraph" w:styleId="11">
    <w:name w:val="toc 3"/>
    <w:basedOn w:val="1"/>
    <w:next w:val="1"/>
    <w:qFormat/>
    <w:uiPriority w:val="0"/>
    <w:pPr>
      <w:ind w:left="840" w:leftChars="400"/>
    </w:pPr>
  </w:style>
  <w:style w:type="paragraph" w:styleId="12">
    <w:name w:val="Plain Text"/>
    <w:basedOn w:val="1"/>
    <w:qFormat/>
    <w:uiPriority w:val="0"/>
    <w:pPr>
      <w:spacing w:line="240" w:lineRule="auto"/>
      <w:ind w:firstLine="0" w:firstLineChars="0"/>
    </w:pPr>
    <w:rPr>
      <w:rFonts w:ascii="宋体" w:hAnsi="Courier New"/>
      <w:sz w:val="21"/>
      <w:szCs w:val="21"/>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Title"/>
    <w:basedOn w:val="1"/>
    <w:next w:val="10"/>
    <w:qFormat/>
    <w:uiPriority w:val="1"/>
    <w:pPr>
      <w:spacing w:before="122"/>
      <w:ind w:left="295" w:right="391"/>
      <w:jc w:val="center"/>
    </w:pPr>
    <w:rPr>
      <w:rFonts w:ascii="宋体" w:hAnsi="宋体" w:eastAsia="宋体" w:cs="宋体"/>
      <w:b/>
      <w:bCs/>
      <w:sz w:val="62"/>
      <w:szCs w:val="62"/>
      <w:lang w:val="en-US" w:eastAsia="zh-CN" w:bidi="ar-SA"/>
    </w:rPr>
  </w:style>
  <w:style w:type="paragraph" w:styleId="18">
    <w:name w:val="Body Text First Indent"/>
    <w:basedOn w:val="9"/>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annotation reference"/>
    <w:qFormat/>
    <w:uiPriority w:val="0"/>
    <w:rPr>
      <w:sz w:val="21"/>
      <w:szCs w:val="21"/>
    </w:rPr>
  </w:style>
  <w:style w:type="paragraph" w:customStyle="1" w:styleId="24">
    <w:name w:val="Default"/>
    <w:qFormat/>
    <w:uiPriority w:val="99"/>
    <w:pPr>
      <w:widowControl w:val="0"/>
      <w:autoSpaceDE w:val="0"/>
      <w:autoSpaceDN w:val="0"/>
      <w:adjustRightInd w:val="0"/>
    </w:pPr>
    <w:rPr>
      <w:rFonts w:ascii="黑体" w:hAnsi="黑体" w:eastAsia="黑体" w:cs="Times New Roman"/>
      <w:color w:val="000000"/>
      <w:sz w:val="24"/>
      <w:szCs w:val="22"/>
      <w:lang w:val="en-US" w:eastAsia="zh-CN" w:bidi="ar-SA"/>
    </w:rPr>
  </w:style>
  <w:style w:type="paragraph" w:customStyle="1" w:styleId="25">
    <w:name w:val="无间隔1"/>
    <w:qFormat/>
    <w:uiPriority w:val="0"/>
    <w:rPr>
      <w:rFonts w:ascii="Calibri" w:hAnsi="Calibri" w:eastAsia="宋体" w:cs="Times New Roman"/>
      <w:sz w:val="22"/>
      <w:szCs w:val="22"/>
      <w:lang w:val="en-US" w:eastAsia="zh-CN" w:bidi="ar-SA"/>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pPr>
      <w:spacing w:before="16"/>
      <w:ind w:left="777" w:hanging="240"/>
    </w:pPr>
    <w:rPr>
      <w:rFonts w:ascii="宋体" w:hAnsi="宋体" w:eastAsia="宋体" w:cs="宋体"/>
      <w:lang w:val="en-US" w:eastAsia="zh-CN" w:bidi="ar-SA"/>
    </w:rPr>
  </w:style>
  <w:style w:type="paragraph" w:customStyle="1" w:styleId="28">
    <w:name w:val="Table Paragraph"/>
    <w:basedOn w:val="1"/>
    <w:qFormat/>
    <w:uiPriority w:val="1"/>
    <w:rPr>
      <w:rFonts w:ascii="宋体" w:hAnsi="宋体" w:eastAsia="宋体" w:cs="宋体"/>
      <w:lang w:val="en-US" w:eastAsia="zh-CN" w:bidi="ar-SA"/>
    </w:rPr>
  </w:style>
  <w:style w:type="character" w:customStyle="1" w:styleId="29">
    <w:name w:val="font31"/>
    <w:basedOn w:val="21"/>
    <w:qFormat/>
    <w:uiPriority w:val="0"/>
    <w:rPr>
      <w:rFonts w:hint="default" w:ascii="Times New Roman" w:hAnsi="Times New Roman" w:cs="Times New Roman"/>
      <w:color w:val="000000"/>
      <w:sz w:val="22"/>
      <w:szCs w:val="22"/>
      <w:u w:val="none"/>
    </w:rPr>
  </w:style>
  <w:style w:type="character" w:customStyle="1" w:styleId="30">
    <w:name w:val="font01"/>
    <w:basedOn w:val="21"/>
    <w:qFormat/>
    <w:uiPriority w:val="0"/>
    <w:rPr>
      <w:rFonts w:hint="eastAsia" w:ascii="宋体" w:hAnsi="宋体" w:eastAsia="宋体" w:cs="宋体"/>
      <w:color w:val="000000"/>
      <w:sz w:val="22"/>
      <w:szCs w:val="22"/>
      <w:u w:val="none"/>
    </w:rPr>
  </w:style>
  <w:style w:type="character" w:customStyle="1" w:styleId="31">
    <w:name w:val="font41"/>
    <w:basedOn w:val="21"/>
    <w:qFormat/>
    <w:uiPriority w:val="0"/>
    <w:rPr>
      <w:rFonts w:hint="eastAsia" w:ascii="宋体" w:hAnsi="宋体" w:eastAsia="宋体" w:cs="宋体"/>
      <w:color w:val="000000"/>
      <w:sz w:val="22"/>
      <w:szCs w:val="22"/>
      <w:u w:val="none"/>
      <w:vertAlign w:val="subscript"/>
    </w:rPr>
  </w:style>
  <w:style w:type="character" w:customStyle="1" w:styleId="32">
    <w:name w:val="标题 1 Char"/>
    <w:link w:val="2"/>
    <w:qFormat/>
    <w:uiPriority w:val="1"/>
    <w:rPr>
      <w:rFonts w:ascii="宋体" w:hAnsi="宋体" w:eastAsia="宋体" w:cs="宋体"/>
      <w:b/>
      <w:bCs/>
      <w:sz w:val="31"/>
      <w:szCs w:val="31"/>
      <w:lang w:val="en-US" w:eastAsia="zh-CN" w:bidi="ar-SA"/>
    </w:rPr>
  </w:style>
  <w:style w:type="paragraph" w:customStyle="1" w:styleId="33">
    <w:name w:val="Table Text"/>
    <w:basedOn w:val="1"/>
    <w:semiHidden/>
    <w:qFormat/>
    <w:uiPriority w:val="0"/>
    <w:rPr>
      <w:rFonts w:ascii="宋体" w:hAnsi="宋体" w:eastAsia="宋体" w:cs="宋体"/>
      <w:sz w:val="27"/>
      <w:szCs w:val="27"/>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Pages>
  <Words>16939</Words>
  <Characters>17588</Characters>
  <TotalTime>0</TotalTime>
  <ScaleCrop>false</ScaleCrop>
  <LinksUpToDate>false</LinksUpToDate>
  <CharactersWithSpaces>18137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2024-09-13T07:48:00Z</dcterms:created>
  <dc:creator>Administrator</dc:creator>
  <cp:lastModifiedBy>木可 °</cp:lastModifiedBy>
  <cp:lastPrinted>2025-06-09T03:15:00Z</cp:lastPrinted>
  <dcterms:modified xsi:type="dcterms:W3CDTF">2025-08-04T02:54:58Z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2024-08-27T00:00:00Z</vt:filetime>
  </property>
  <property fmtid="{D5CDD505-2E9C-101B-9397-08002B2CF9AE}" pid="3" name="Creator">
    <vt:lpwstr>wkhtmltopdf 0.12.5</vt:lpwstr>
  </property>
  <property fmtid="{D5CDD505-2E9C-101B-9397-08002B2CF9AE}" pid="4" name="LastSaved">
    <vt:filetime>2024-08-27T00:00:00Z</vt:filetime>
  </property>
  <property fmtid="{D5CDD505-2E9C-101B-9397-08002B2CF9AE}" pid="5" name="KSOProductBuildVer">
    <vt:lpwstr>2052-12.1.0.22215</vt:lpwstr>
  </property>
  <property fmtid="{D5CDD505-2E9C-101B-9397-08002B2CF9AE}" pid="6" name="ICV">
    <vt:lpwstr>B7DB0DF197714CC39E267058B3E88759_13</vt:lpwstr>
  </property>
  <property fmtid="{D5CDD505-2E9C-101B-9397-08002B2CF9AE}" pid="7" name="KSOTemplateDocerSaveRecord">
    <vt:lpwstr>eyJoZGlkIjoiZmFkZjkzOTUxOTViNGFjOWRmMThkMmQ4ZjI5NjM3NDciLCJ1c2VySWQiOiIzOTE2NjcyOTkifQ==</vt:lpwstr>
  </property>
</Properties>
</file>